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1F3C" w14:textId="77777777" w:rsidR="00ED1FB0" w:rsidRDefault="00ED1FB0" w:rsidP="00ED1FB0">
      <w:pPr>
        <w:pStyle w:val="Default"/>
        <w:rPr>
          <w:rFonts w:ascii="Public Sans" w:hAnsi="Public Sans" w:cstheme="majorBidi"/>
          <w:color w:val="FFFFFF" w:themeColor="background1"/>
          <w:sz w:val="64"/>
          <w:szCs w:val="64"/>
        </w:rPr>
      </w:pPr>
    </w:p>
    <w:p w14:paraId="559F40A0" w14:textId="77777777" w:rsidR="00ED1FB0" w:rsidRDefault="00ED1FB0" w:rsidP="00ED1FB0">
      <w:pPr>
        <w:pStyle w:val="Default"/>
        <w:rPr>
          <w:rFonts w:ascii="Public Sans" w:hAnsi="Public Sans" w:cstheme="majorBidi"/>
          <w:color w:val="FFFFFF" w:themeColor="background1"/>
          <w:sz w:val="64"/>
          <w:szCs w:val="64"/>
        </w:rPr>
      </w:pPr>
    </w:p>
    <w:p w14:paraId="597F0F51" w14:textId="77777777" w:rsidR="00ED1FB0" w:rsidRDefault="00ED1FB0" w:rsidP="00ED1FB0">
      <w:pPr>
        <w:pStyle w:val="Default"/>
        <w:rPr>
          <w:rFonts w:ascii="Public Sans" w:hAnsi="Public Sans" w:cstheme="majorBidi"/>
          <w:color w:val="FFFFFF" w:themeColor="background1"/>
          <w:sz w:val="64"/>
          <w:szCs w:val="64"/>
        </w:rPr>
      </w:pPr>
      <w:r w:rsidRPr="005E66D9">
        <w:rPr>
          <w:rFonts w:ascii="Public Sans" w:hAnsi="Public Sans" w:cstheme="majorHAnsi"/>
          <w:noProof/>
          <w:color w:val="FFFFFF" w:themeColor="background1"/>
          <w:sz w:val="64"/>
          <w:szCs w:val="64"/>
          <w:lang w:eastAsia="sv-SE"/>
        </w:rPr>
        <w:drawing>
          <wp:anchor distT="0" distB="0" distL="114300" distR="114300" simplePos="0" relativeHeight="251659264" behindDoc="1" locked="1" layoutInCell="1" allowOverlap="1" wp14:anchorId="36C20F5D" wp14:editId="15C90D93">
            <wp:simplePos x="0" y="0"/>
            <wp:positionH relativeFrom="page">
              <wp:posOffset>6427470</wp:posOffset>
            </wp:positionH>
            <wp:positionV relativeFrom="page">
              <wp:posOffset>9595485</wp:posOffset>
            </wp:positionV>
            <wp:extent cx="856800" cy="792000"/>
            <wp:effectExtent l="0" t="0" r="635" b="8255"/>
            <wp:wrapNone/>
            <wp:docPr id="2" name="Bildobjekt 2" descr="Logotyp för Regio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Logotyp för Region Skå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68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66D9">
        <w:rPr>
          <w:rFonts w:ascii="Public Sans" w:hAnsi="Public Sans" w:cstheme="majorBidi"/>
          <w:color w:val="FFFFFF" w:themeColor="background1"/>
          <w:sz w:val="64"/>
          <w:szCs w:val="64"/>
        </w:rPr>
        <w:t>Fastighets- och servicenämndens verksamhetsplan och budget 2025,</w:t>
      </w:r>
    </w:p>
    <w:p w14:paraId="7A7B846B" w14:textId="77777777" w:rsidR="00ED1FB0" w:rsidRPr="005E66D9" w:rsidRDefault="00ED1FB0" w:rsidP="00ED1FB0">
      <w:pPr>
        <w:pStyle w:val="Default"/>
        <w:rPr>
          <w:rFonts w:ascii="Public Sans" w:hAnsi="Public Sans" w:cstheme="majorHAnsi"/>
          <w:color w:val="FFFFFF" w:themeColor="background1"/>
          <w:sz w:val="64"/>
          <w:szCs w:val="64"/>
        </w:rPr>
      </w:pPr>
      <w:r w:rsidRPr="005E66D9">
        <w:rPr>
          <w:rFonts w:ascii="Public Sans" w:hAnsi="Public Sans" w:cstheme="majorBidi"/>
          <w:color w:val="FFFFFF" w:themeColor="background1"/>
          <w:sz w:val="64"/>
          <w:szCs w:val="64"/>
        </w:rPr>
        <w:t>med plan för 2025–2027</w:t>
      </w:r>
    </w:p>
    <w:p w14:paraId="6F93EF95" w14:textId="77777777" w:rsidR="00ED1FB0" w:rsidRPr="005E66D9" w:rsidRDefault="00ED1FB0" w:rsidP="00ED1FB0">
      <w:pPr>
        <w:pStyle w:val="Default"/>
        <w:rPr>
          <w:rFonts w:ascii="Public Sans" w:hAnsi="Public Sans" w:cstheme="majorBidi"/>
          <w:color w:val="FFFFFF" w:themeColor="background1"/>
          <w:sz w:val="64"/>
          <w:szCs w:val="64"/>
        </w:rPr>
      </w:pPr>
    </w:p>
    <w:p w14:paraId="195B2AEE" w14:textId="77777777" w:rsidR="00ED1FB0" w:rsidRPr="00886B27" w:rsidRDefault="00ED1FB0" w:rsidP="00ED1FB0">
      <w:pPr>
        <w:pStyle w:val="Default"/>
        <w:rPr>
          <w:rFonts w:ascii="Literata" w:hAnsi="Literata" w:cstheme="majorHAnsi"/>
          <w:color w:val="FFFFFF" w:themeColor="background1"/>
          <w:sz w:val="22"/>
          <w:szCs w:val="22"/>
        </w:rPr>
      </w:pPr>
    </w:p>
    <w:p w14:paraId="598AB36B" w14:textId="77777777" w:rsidR="00ED1FB0" w:rsidRPr="00886B27" w:rsidRDefault="00ED1FB0" w:rsidP="00ED1FB0">
      <w:pPr>
        <w:pStyle w:val="Default"/>
        <w:rPr>
          <w:rFonts w:ascii="Literata" w:hAnsi="Literata" w:cstheme="majorHAnsi"/>
          <w:bCs/>
          <w:color w:val="FFFFFF" w:themeColor="background1"/>
          <w:sz w:val="22"/>
          <w:szCs w:val="22"/>
        </w:rPr>
        <w:sectPr w:rsidR="00ED1FB0" w:rsidRPr="00886B27" w:rsidSect="00ED1FB0">
          <w:headerReference w:type="default" r:id="rId12"/>
          <w:footerReference w:type="default" r:id="rId13"/>
          <w:headerReference w:type="first" r:id="rId14"/>
          <w:footerReference w:type="first" r:id="rId15"/>
          <w:pgSz w:w="11906" w:h="16838" w:code="9"/>
          <w:pgMar w:top="1985" w:right="2268" w:bottom="1247" w:left="2268" w:header="680" w:footer="567" w:gutter="0"/>
          <w:cols w:space="708"/>
          <w:titlePg/>
          <w:docGrid w:linePitch="360"/>
        </w:sectPr>
      </w:pPr>
    </w:p>
    <w:p w14:paraId="3911EA3C" w14:textId="77777777" w:rsidR="00ED1FB0" w:rsidRPr="0085069F" w:rsidRDefault="00ED1FB0" w:rsidP="00ED1FB0">
      <w:pPr>
        <w:pStyle w:val="Innehllsfrteckningsrubrik"/>
        <w:rPr>
          <w:rFonts w:ascii="Public Sans" w:hAnsi="Public Sans"/>
          <w:sz w:val="36"/>
          <w:szCs w:val="36"/>
        </w:rPr>
      </w:pPr>
      <w:r w:rsidRPr="0085069F">
        <w:rPr>
          <w:rFonts w:ascii="Public Sans" w:hAnsi="Public Sans"/>
          <w:sz w:val="36"/>
          <w:szCs w:val="36"/>
        </w:rPr>
        <w:lastRenderedPageBreak/>
        <w:t>Innehållsförteckning</w:t>
      </w:r>
    </w:p>
    <w:p w14:paraId="7F53DBE1" w14:textId="7D484B3C" w:rsidR="00ED1FB0" w:rsidRDefault="00ED1FB0" w:rsidP="00ED1FB0">
      <w:pPr>
        <w:pStyle w:val="Innehll1"/>
        <w:rPr>
          <w:rFonts w:asciiTheme="minorHAnsi" w:eastAsiaTheme="minorEastAsia" w:hAnsiTheme="minorHAnsi"/>
          <w:noProof/>
          <w:kern w:val="2"/>
          <w:szCs w:val="22"/>
          <w:lang w:eastAsia="sv-SE"/>
          <w14:ligatures w14:val="standardContextual"/>
        </w:rPr>
      </w:pPr>
      <w:r w:rsidRPr="00886B27">
        <w:rPr>
          <w:szCs w:val="22"/>
        </w:rPr>
        <w:fldChar w:fldCharType="begin"/>
      </w:r>
      <w:r w:rsidRPr="00886B27">
        <w:rPr>
          <w:szCs w:val="22"/>
        </w:rPr>
        <w:instrText xml:space="preserve"> TOC \h \z \t "Rubrik 1;1;Rubrik 2;2;Rubrik 3;3;Rubrik 1 - numrerad;1;Rubrik 2 - numrerad;2;Rubrik 3 - numrerad;3" </w:instrText>
      </w:r>
      <w:r w:rsidRPr="00886B27">
        <w:rPr>
          <w:szCs w:val="22"/>
        </w:rPr>
        <w:fldChar w:fldCharType="separate"/>
      </w:r>
      <w:hyperlink w:anchor="_Toc184195012" w:history="1">
        <w:r w:rsidRPr="003C742E">
          <w:rPr>
            <w:rStyle w:val="Hyperlnk"/>
            <w:rFonts w:ascii="Public Sans" w:hAnsi="Public Sans"/>
            <w:noProof/>
          </w:rPr>
          <w:t>Inledning</w:t>
        </w:r>
        <w:r>
          <w:rPr>
            <w:noProof/>
            <w:webHidden/>
          </w:rPr>
          <w:tab/>
        </w:r>
        <w:r>
          <w:rPr>
            <w:noProof/>
            <w:webHidden/>
          </w:rPr>
          <w:fldChar w:fldCharType="begin"/>
        </w:r>
        <w:r>
          <w:rPr>
            <w:noProof/>
            <w:webHidden/>
          </w:rPr>
          <w:instrText xml:space="preserve"> PAGEREF _Toc184195012 \h </w:instrText>
        </w:r>
        <w:r>
          <w:rPr>
            <w:noProof/>
            <w:webHidden/>
          </w:rPr>
        </w:r>
        <w:r>
          <w:rPr>
            <w:noProof/>
            <w:webHidden/>
          </w:rPr>
          <w:fldChar w:fldCharType="separate"/>
        </w:r>
        <w:r w:rsidR="00C45722">
          <w:rPr>
            <w:noProof/>
            <w:webHidden/>
          </w:rPr>
          <w:t>3</w:t>
        </w:r>
        <w:r>
          <w:rPr>
            <w:noProof/>
            <w:webHidden/>
          </w:rPr>
          <w:fldChar w:fldCharType="end"/>
        </w:r>
      </w:hyperlink>
    </w:p>
    <w:p w14:paraId="4F275002" w14:textId="40D70746" w:rsidR="00ED1FB0" w:rsidRDefault="00000000" w:rsidP="00ED1FB0">
      <w:pPr>
        <w:pStyle w:val="Innehll1"/>
        <w:rPr>
          <w:rFonts w:asciiTheme="minorHAnsi" w:eastAsiaTheme="minorEastAsia" w:hAnsiTheme="minorHAnsi"/>
          <w:noProof/>
          <w:kern w:val="2"/>
          <w:szCs w:val="22"/>
          <w:lang w:eastAsia="sv-SE"/>
          <w14:ligatures w14:val="standardContextual"/>
        </w:rPr>
      </w:pPr>
      <w:hyperlink w:anchor="_Toc184195013" w:history="1">
        <w:r w:rsidR="00ED1FB0" w:rsidRPr="003C742E">
          <w:rPr>
            <w:rStyle w:val="Hyperlnk"/>
            <w:rFonts w:ascii="Public Sans" w:hAnsi="Public Sans"/>
            <w:noProof/>
          </w:rPr>
          <w:t>Regionfastigheter</w:t>
        </w:r>
        <w:r w:rsidR="00ED1FB0">
          <w:rPr>
            <w:noProof/>
            <w:webHidden/>
          </w:rPr>
          <w:tab/>
        </w:r>
        <w:r w:rsidR="00ED1FB0">
          <w:rPr>
            <w:noProof/>
            <w:webHidden/>
          </w:rPr>
          <w:fldChar w:fldCharType="begin"/>
        </w:r>
        <w:r w:rsidR="00ED1FB0">
          <w:rPr>
            <w:noProof/>
            <w:webHidden/>
          </w:rPr>
          <w:instrText xml:space="preserve"> PAGEREF _Toc184195013 \h </w:instrText>
        </w:r>
        <w:r w:rsidR="00ED1FB0">
          <w:rPr>
            <w:noProof/>
            <w:webHidden/>
          </w:rPr>
        </w:r>
        <w:r w:rsidR="00ED1FB0">
          <w:rPr>
            <w:noProof/>
            <w:webHidden/>
          </w:rPr>
          <w:fldChar w:fldCharType="separate"/>
        </w:r>
        <w:r w:rsidR="00C45722">
          <w:rPr>
            <w:noProof/>
            <w:webHidden/>
          </w:rPr>
          <w:t>6</w:t>
        </w:r>
        <w:r w:rsidR="00ED1FB0">
          <w:rPr>
            <w:noProof/>
            <w:webHidden/>
          </w:rPr>
          <w:fldChar w:fldCharType="end"/>
        </w:r>
      </w:hyperlink>
    </w:p>
    <w:p w14:paraId="32352D93" w14:textId="1BC487A2" w:rsidR="00ED1FB0" w:rsidRDefault="00000000" w:rsidP="00ED1FB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4195014" w:history="1">
        <w:r w:rsidR="00ED1FB0" w:rsidRPr="003C742E">
          <w:rPr>
            <w:rStyle w:val="Hyperlnk"/>
            <w:rFonts w:ascii="Public Sans" w:hAnsi="Public Sans"/>
            <w:noProof/>
          </w:rPr>
          <w:t>Regionfastigheters uppdrag</w:t>
        </w:r>
        <w:r w:rsidR="00ED1FB0">
          <w:rPr>
            <w:noProof/>
            <w:webHidden/>
          </w:rPr>
          <w:tab/>
        </w:r>
        <w:r w:rsidR="00ED1FB0">
          <w:rPr>
            <w:noProof/>
            <w:webHidden/>
          </w:rPr>
          <w:fldChar w:fldCharType="begin"/>
        </w:r>
        <w:r w:rsidR="00ED1FB0">
          <w:rPr>
            <w:noProof/>
            <w:webHidden/>
          </w:rPr>
          <w:instrText xml:space="preserve"> PAGEREF _Toc184195014 \h </w:instrText>
        </w:r>
        <w:r w:rsidR="00ED1FB0">
          <w:rPr>
            <w:noProof/>
            <w:webHidden/>
          </w:rPr>
        </w:r>
        <w:r w:rsidR="00ED1FB0">
          <w:rPr>
            <w:noProof/>
            <w:webHidden/>
          </w:rPr>
          <w:fldChar w:fldCharType="separate"/>
        </w:r>
        <w:r w:rsidR="00C45722">
          <w:rPr>
            <w:noProof/>
            <w:webHidden/>
          </w:rPr>
          <w:t>6</w:t>
        </w:r>
        <w:r w:rsidR="00ED1FB0">
          <w:rPr>
            <w:noProof/>
            <w:webHidden/>
          </w:rPr>
          <w:fldChar w:fldCharType="end"/>
        </w:r>
      </w:hyperlink>
    </w:p>
    <w:p w14:paraId="3D2239DE" w14:textId="626159E8" w:rsidR="00ED1FB0" w:rsidRDefault="00000000" w:rsidP="00ED1FB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4195015" w:history="1">
        <w:r w:rsidR="00ED1FB0" w:rsidRPr="003C742E">
          <w:rPr>
            <w:rStyle w:val="Hyperlnk"/>
            <w:rFonts w:ascii="Public Sans" w:hAnsi="Public Sans"/>
            <w:noProof/>
          </w:rPr>
          <w:t>Övergripande mål för planperioden</w:t>
        </w:r>
        <w:r w:rsidR="00ED1FB0">
          <w:rPr>
            <w:noProof/>
            <w:webHidden/>
          </w:rPr>
          <w:tab/>
        </w:r>
        <w:r w:rsidR="00ED1FB0">
          <w:rPr>
            <w:noProof/>
            <w:webHidden/>
          </w:rPr>
          <w:fldChar w:fldCharType="begin"/>
        </w:r>
        <w:r w:rsidR="00ED1FB0">
          <w:rPr>
            <w:noProof/>
            <w:webHidden/>
          </w:rPr>
          <w:instrText xml:space="preserve"> PAGEREF _Toc184195015 \h </w:instrText>
        </w:r>
        <w:r w:rsidR="00ED1FB0">
          <w:rPr>
            <w:noProof/>
            <w:webHidden/>
          </w:rPr>
        </w:r>
        <w:r w:rsidR="00ED1FB0">
          <w:rPr>
            <w:noProof/>
            <w:webHidden/>
          </w:rPr>
          <w:fldChar w:fldCharType="separate"/>
        </w:r>
        <w:r w:rsidR="00C45722">
          <w:rPr>
            <w:noProof/>
            <w:webHidden/>
          </w:rPr>
          <w:t>7</w:t>
        </w:r>
        <w:r w:rsidR="00ED1FB0">
          <w:rPr>
            <w:noProof/>
            <w:webHidden/>
          </w:rPr>
          <w:fldChar w:fldCharType="end"/>
        </w:r>
      </w:hyperlink>
    </w:p>
    <w:p w14:paraId="6512CED7" w14:textId="46F65F0A" w:rsidR="00ED1FB0" w:rsidRDefault="00000000" w:rsidP="00ED1FB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4195016" w:history="1">
        <w:r w:rsidR="00ED1FB0" w:rsidRPr="003C742E">
          <w:rPr>
            <w:rStyle w:val="Hyperlnk"/>
            <w:rFonts w:ascii="Public Sans" w:hAnsi="Public Sans"/>
            <w:noProof/>
          </w:rPr>
          <w:t>Ökad tillgänglighet</w:t>
        </w:r>
        <w:r w:rsidR="00ED1FB0">
          <w:rPr>
            <w:noProof/>
            <w:webHidden/>
          </w:rPr>
          <w:tab/>
        </w:r>
        <w:r w:rsidR="00ED1FB0">
          <w:rPr>
            <w:noProof/>
            <w:webHidden/>
          </w:rPr>
          <w:fldChar w:fldCharType="begin"/>
        </w:r>
        <w:r w:rsidR="00ED1FB0">
          <w:rPr>
            <w:noProof/>
            <w:webHidden/>
          </w:rPr>
          <w:instrText xml:space="preserve"> PAGEREF _Toc184195016 \h </w:instrText>
        </w:r>
        <w:r w:rsidR="00ED1FB0">
          <w:rPr>
            <w:noProof/>
            <w:webHidden/>
          </w:rPr>
        </w:r>
        <w:r w:rsidR="00ED1FB0">
          <w:rPr>
            <w:noProof/>
            <w:webHidden/>
          </w:rPr>
          <w:fldChar w:fldCharType="separate"/>
        </w:r>
        <w:r w:rsidR="00C45722">
          <w:rPr>
            <w:noProof/>
            <w:webHidden/>
          </w:rPr>
          <w:t>11</w:t>
        </w:r>
        <w:r w:rsidR="00ED1FB0">
          <w:rPr>
            <w:noProof/>
            <w:webHidden/>
          </w:rPr>
          <w:fldChar w:fldCharType="end"/>
        </w:r>
      </w:hyperlink>
    </w:p>
    <w:p w14:paraId="1D95FC1A" w14:textId="695B5130" w:rsidR="00ED1FB0" w:rsidRDefault="00000000" w:rsidP="00ED1FB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4195017" w:history="1">
        <w:r w:rsidR="00ED1FB0" w:rsidRPr="003C742E">
          <w:rPr>
            <w:rStyle w:val="Hyperlnk"/>
            <w:rFonts w:ascii="Public Sans" w:hAnsi="Public Sans"/>
            <w:noProof/>
          </w:rPr>
          <w:t>Säkrad kompetensförsörjning</w:t>
        </w:r>
        <w:r w:rsidR="00ED1FB0">
          <w:rPr>
            <w:noProof/>
            <w:webHidden/>
          </w:rPr>
          <w:tab/>
        </w:r>
        <w:r w:rsidR="00ED1FB0">
          <w:rPr>
            <w:noProof/>
            <w:webHidden/>
          </w:rPr>
          <w:fldChar w:fldCharType="begin"/>
        </w:r>
        <w:r w:rsidR="00ED1FB0">
          <w:rPr>
            <w:noProof/>
            <w:webHidden/>
          </w:rPr>
          <w:instrText xml:space="preserve"> PAGEREF _Toc184195017 \h </w:instrText>
        </w:r>
        <w:r w:rsidR="00ED1FB0">
          <w:rPr>
            <w:noProof/>
            <w:webHidden/>
          </w:rPr>
        </w:r>
        <w:r w:rsidR="00ED1FB0">
          <w:rPr>
            <w:noProof/>
            <w:webHidden/>
          </w:rPr>
          <w:fldChar w:fldCharType="separate"/>
        </w:r>
        <w:r w:rsidR="00C45722">
          <w:rPr>
            <w:noProof/>
            <w:webHidden/>
          </w:rPr>
          <w:t>14</w:t>
        </w:r>
        <w:r w:rsidR="00ED1FB0">
          <w:rPr>
            <w:noProof/>
            <w:webHidden/>
          </w:rPr>
          <w:fldChar w:fldCharType="end"/>
        </w:r>
      </w:hyperlink>
    </w:p>
    <w:p w14:paraId="1DF53DCD" w14:textId="4CC1A07E" w:rsidR="00ED1FB0" w:rsidRDefault="00000000" w:rsidP="00ED1FB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4195018" w:history="1">
        <w:r w:rsidR="00ED1FB0" w:rsidRPr="003C742E">
          <w:rPr>
            <w:rStyle w:val="Hyperlnk"/>
            <w:rFonts w:ascii="Public Sans" w:hAnsi="Public Sans"/>
            <w:noProof/>
          </w:rPr>
          <w:t>God ekonomisk hushållning</w:t>
        </w:r>
        <w:r w:rsidR="00ED1FB0">
          <w:rPr>
            <w:noProof/>
            <w:webHidden/>
          </w:rPr>
          <w:tab/>
        </w:r>
        <w:r w:rsidR="00ED1FB0">
          <w:rPr>
            <w:noProof/>
            <w:webHidden/>
          </w:rPr>
          <w:fldChar w:fldCharType="begin"/>
        </w:r>
        <w:r w:rsidR="00ED1FB0">
          <w:rPr>
            <w:noProof/>
            <w:webHidden/>
          </w:rPr>
          <w:instrText xml:space="preserve"> PAGEREF _Toc184195018 \h </w:instrText>
        </w:r>
        <w:r w:rsidR="00ED1FB0">
          <w:rPr>
            <w:noProof/>
            <w:webHidden/>
          </w:rPr>
        </w:r>
        <w:r w:rsidR="00ED1FB0">
          <w:rPr>
            <w:noProof/>
            <w:webHidden/>
          </w:rPr>
          <w:fldChar w:fldCharType="separate"/>
        </w:r>
        <w:r w:rsidR="00C45722">
          <w:rPr>
            <w:noProof/>
            <w:webHidden/>
          </w:rPr>
          <w:t>16</w:t>
        </w:r>
        <w:r w:rsidR="00ED1FB0">
          <w:rPr>
            <w:noProof/>
            <w:webHidden/>
          </w:rPr>
          <w:fldChar w:fldCharType="end"/>
        </w:r>
      </w:hyperlink>
    </w:p>
    <w:p w14:paraId="64509878" w14:textId="2F1FADA1" w:rsidR="00ED1FB0" w:rsidRDefault="00000000" w:rsidP="00ED1FB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4195019" w:history="1">
        <w:r w:rsidR="00ED1FB0" w:rsidRPr="003C742E">
          <w:rPr>
            <w:rStyle w:val="Hyperlnk"/>
            <w:rFonts w:ascii="Public Sans" w:hAnsi="Public Sans"/>
            <w:noProof/>
          </w:rPr>
          <w:t>Ekonomiska förutsättningar</w:t>
        </w:r>
        <w:r w:rsidR="00ED1FB0">
          <w:rPr>
            <w:noProof/>
            <w:webHidden/>
          </w:rPr>
          <w:tab/>
        </w:r>
        <w:r w:rsidR="00ED1FB0">
          <w:rPr>
            <w:noProof/>
            <w:webHidden/>
          </w:rPr>
          <w:fldChar w:fldCharType="begin"/>
        </w:r>
        <w:r w:rsidR="00ED1FB0">
          <w:rPr>
            <w:noProof/>
            <w:webHidden/>
          </w:rPr>
          <w:instrText xml:space="preserve"> PAGEREF _Toc184195019 \h </w:instrText>
        </w:r>
        <w:r w:rsidR="00ED1FB0">
          <w:rPr>
            <w:noProof/>
            <w:webHidden/>
          </w:rPr>
        </w:r>
        <w:r w:rsidR="00ED1FB0">
          <w:rPr>
            <w:noProof/>
            <w:webHidden/>
          </w:rPr>
          <w:fldChar w:fldCharType="separate"/>
        </w:r>
        <w:r w:rsidR="00C45722">
          <w:rPr>
            <w:noProof/>
            <w:webHidden/>
          </w:rPr>
          <w:t>20</w:t>
        </w:r>
        <w:r w:rsidR="00ED1FB0">
          <w:rPr>
            <w:noProof/>
            <w:webHidden/>
          </w:rPr>
          <w:fldChar w:fldCharType="end"/>
        </w:r>
      </w:hyperlink>
    </w:p>
    <w:p w14:paraId="02F619E0" w14:textId="4308EA82" w:rsidR="00ED1FB0" w:rsidRDefault="00000000" w:rsidP="00ED1FB0">
      <w:pPr>
        <w:pStyle w:val="Innehll1"/>
        <w:rPr>
          <w:rFonts w:asciiTheme="minorHAnsi" w:eastAsiaTheme="minorEastAsia" w:hAnsiTheme="minorHAnsi"/>
          <w:noProof/>
          <w:kern w:val="2"/>
          <w:szCs w:val="22"/>
          <w:lang w:eastAsia="sv-SE"/>
          <w14:ligatures w14:val="standardContextual"/>
        </w:rPr>
      </w:pPr>
      <w:hyperlink w:anchor="_Toc184195020" w:history="1">
        <w:r w:rsidR="00ED1FB0" w:rsidRPr="003C742E">
          <w:rPr>
            <w:rStyle w:val="Hyperlnk"/>
            <w:rFonts w:ascii="Public Sans" w:hAnsi="Public Sans"/>
            <w:noProof/>
          </w:rPr>
          <w:t>Regionservice</w:t>
        </w:r>
        <w:r w:rsidR="00ED1FB0">
          <w:rPr>
            <w:noProof/>
            <w:webHidden/>
          </w:rPr>
          <w:tab/>
        </w:r>
        <w:r w:rsidR="00ED1FB0">
          <w:rPr>
            <w:noProof/>
            <w:webHidden/>
          </w:rPr>
          <w:fldChar w:fldCharType="begin"/>
        </w:r>
        <w:r w:rsidR="00ED1FB0">
          <w:rPr>
            <w:noProof/>
            <w:webHidden/>
          </w:rPr>
          <w:instrText xml:space="preserve"> PAGEREF _Toc184195020 \h </w:instrText>
        </w:r>
        <w:r w:rsidR="00ED1FB0">
          <w:rPr>
            <w:noProof/>
            <w:webHidden/>
          </w:rPr>
        </w:r>
        <w:r w:rsidR="00ED1FB0">
          <w:rPr>
            <w:noProof/>
            <w:webHidden/>
          </w:rPr>
          <w:fldChar w:fldCharType="separate"/>
        </w:r>
        <w:r w:rsidR="00C45722">
          <w:rPr>
            <w:noProof/>
            <w:webHidden/>
          </w:rPr>
          <w:t>24</w:t>
        </w:r>
        <w:r w:rsidR="00ED1FB0">
          <w:rPr>
            <w:noProof/>
            <w:webHidden/>
          </w:rPr>
          <w:fldChar w:fldCharType="end"/>
        </w:r>
      </w:hyperlink>
    </w:p>
    <w:p w14:paraId="364B5787" w14:textId="2A068F49" w:rsidR="00ED1FB0" w:rsidRDefault="00000000" w:rsidP="00ED1FB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4195021" w:history="1">
        <w:r w:rsidR="00ED1FB0" w:rsidRPr="003C742E">
          <w:rPr>
            <w:rStyle w:val="Hyperlnk"/>
            <w:rFonts w:ascii="Public Sans" w:hAnsi="Public Sans"/>
            <w:noProof/>
          </w:rPr>
          <w:t>Regionservice uppdrag</w:t>
        </w:r>
        <w:r w:rsidR="00ED1FB0">
          <w:rPr>
            <w:noProof/>
            <w:webHidden/>
          </w:rPr>
          <w:tab/>
        </w:r>
        <w:r w:rsidR="00ED1FB0">
          <w:rPr>
            <w:noProof/>
            <w:webHidden/>
          </w:rPr>
          <w:fldChar w:fldCharType="begin"/>
        </w:r>
        <w:r w:rsidR="00ED1FB0">
          <w:rPr>
            <w:noProof/>
            <w:webHidden/>
          </w:rPr>
          <w:instrText xml:space="preserve"> PAGEREF _Toc184195021 \h </w:instrText>
        </w:r>
        <w:r w:rsidR="00ED1FB0">
          <w:rPr>
            <w:noProof/>
            <w:webHidden/>
          </w:rPr>
        </w:r>
        <w:r w:rsidR="00ED1FB0">
          <w:rPr>
            <w:noProof/>
            <w:webHidden/>
          </w:rPr>
          <w:fldChar w:fldCharType="separate"/>
        </w:r>
        <w:r w:rsidR="00C45722">
          <w:rPr>
            <w:noProof/>
            <w:webHidden/>
          </w:rPr>
          <w:t>24</w:t>
        </w:r>
        <w:r w:rsidR="00ED1FB0">
          <w:rPr>
            <w:noProof/>
            <w:webHidden/>
          </w:rPr>
          <w:fldChar w:fldCharType="end"/>
        </w:r>
      </w:hyperlink>
    </w:p>
    <w:p w14:paraId="0369B5E2" w14:textId="3091FC80" w:rsidR="00ED1FB0" w:rsidRDefault="00000000" w:rsidP="00ED1FB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4195022" w:history="1">
        <w:r w:rsidR="00ED1FB0" w:rsidRPr="003C742E">
          <w:rPr>
            <w:rStyle w:val="Hyperlnk"/>
            <w:rFonts w:ascii="Public Sans" w:hAnsi="Public Sans"/>
            <w:noProof/>
          </w:rPr>
          <w:t>Övergripande mål för planperioden</w:t>
        </w:r>
        <w:r w:rsidR="00ED1FB0">
          <w:rPr>
            <w:noProof/>
            <w:webHidden/>
          </w:rPr>
          <w:tab/>
        </w:r>
        <w:r w:rsidR="00ED1FB0">
          <w:rPr>
            <w:noProof/>
            <w:webHidden/>
          </w:rPr>
          <w:fldChar w:fldCharType="begin"/>
        </w:r>
        <w:r w:rsidR="00ED1FB0">
          <w:rPr>
            <w:noProof/>
            <w:webHidden/>
          </w:rPr>
          <w:instrText xml:space="preserve"> PAGEREF _Toc184195022 \h </w:instrText>
        </w:r>
        <w:r w:rsidR="00ED1FB0">
          <w:rPr>
            <w:noProof/>
            <w:webHidden/>
          </w:rPr>
        </w:r>
        <w:r w:rsidR="00ED1FB0">
          <w:rPr>
            <w:noProof/>
            <w:webHidden/>
          </w:rPr>
          <w:fldChar w:fldCharType="separate"/>
        </w:r>
        <w:r w:rsidR="00C45722">
          <w:rPr>
            <w:noProof/>
            <w:webHidden/>
          </w:rPr>
          <w:t>24</w:t>
        </w:r>
        <w:r w:rsidR="00ED1FB0">
          <w:rPr>
            <w:noProof/>
            <w:webHidden/>
          </w:rPr>
          <w:fldChar w:fldCharType="end"/>
        </w:r>
      </w:hyperlink>
    </w:p>
    <w:p w14:paraId="09734F6F" w14:textId="373A71D1" w:rsidR="00ED1FB0" w:rsidRDefault="00000000" w:rsidP="00ED1FB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4195023" w:history="1">
        <w:r w:rsidR="00ED1FB0" w:rsidRPr="003C742E">
          <w:rPr>
            <w:rStyle w:val="Hyperlnk"/>
            <w:rFonts w:ascii="Public Sans" w:hAnsi="Public Sans"/>
            <w:noProof/>
          </w:rPr>
          <w:t>Självklar tjänstepartner</w:t>
        </w:r>
        <w:r w:rsidR="00ED1FB0">
          <w:rPr>
            <w:noProof/>
            <w:webHidden/>
          </w:rPr>
          <w:tab/>
        </w:r>
        <w:r w:rsidR="00ED1FB0">
          <w:rPr>
            <w:noProof/>
            <w:webHidden/>
          </w:rPr>
          <w:fldChar w:fldCharType="begin"/>
        </w:r>
        <w:r w:rsidR="00ED1FB0">
          <w:rPr>
            <w:noProof/>
            <w:webHidden/>
          </w:rPr>
          <w:instrText xml:space="preserve"> PAGEREF _Toc184195023 \h </w:instrText>
        </w:r>
        <w:r w:rsidR="00ED1FB0">
          <w:rPr>
            <w:noProof/>
            <w:webHidden/>
          </w:rPr>
        </w:r>
        <w:r w:rsidR="00ED1FB0">
          <w:rPr>
            <w:noProof/>
            <w:webHidden/>
          </w:rPr>
          <w:fldChar w:fldCharType="separate"/>
        </w:r>
        <w:r w:rsidR="00C45722">
          <w:rPr>
            <w:noProof/>
            <w:webHidden/>
          </w:rPr>
          <w:t>25</w:t>
        </w:r>
        <w:r w:rsidR="00ED1FB0">
          <w:rPr>
            <w:noProof/>
            <w:webHidden/>
          </w:rPr>
          <w:fldChar w:fldCharType="end"/>
        </w:r>
      </w:hyperlink>
    </w:p>
    <w:p w14:paraId="27BB0EDF" w14:textId="21C20C72" w:rsidR="00ED1FB0" w:rsidRDefault="00000000" w:rsidP="00ED1FB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4195024" w:history="1">
        <w:r w:rsidR="00ED1FB0" w:rsidRPr="003C742E">
          <w:rPr>
            <w:rStyle w:val="Hyperlnk"/>
            <w:rFonts w:ascii="Public Sans" w:hAnsi="Public Sans"/>
            <w:noProof/>
          </w:rPr>
          <w:t>Effektiva servicelösningar</w:t>
        </w:r>
        <w:r w:rsidR="00ED1FB0">
          <w:rPr>
            <w:noProof/>
            <w:webHidden/>
          </w:rPr>
          <w:tab/>
        </w:r>
        <w:r w:rsidR="00ED1FB0">
          <w:rPr>
            <w:noProof/>
            <w:webHidden/>
          </w:rPr>
          <w:fldChar w:fldCharType="begin"/>
        </w:r>
        <w:r w:rsidR="00ED1FB0">
          <w:rPr>
            <w:noProof/>
            <w:webHidden/>
          </w:rPr>
          <w:instrText xml:space="preserve"> PAGEREF _Toc184195024 \h </w:instrText>
        </w:r>
        <w:r w:rsidR="00ED1FB0">
          <w:rPr>
            <w:noProof/>
            <w:webHidden/>
          </w:rPr>
        </w:r>
        <w:r w:rsidR="00ED1FB0">
          <w:rPr>
            <w:noProof/>
            <w:webHidden/>
          </w:rPr>
          <w:fldChar w:fldCharType="separate"/>
        </w:r>
        <w:r w:rsidR="00C45722">
          <w:rPr>
            <w:noProof/>
            <w:webHidden/>
          </w:rPr>
          <w:t>26</w:t>
        </w:r>
        <w:r w:rsidR="00ED1FB0">
          <w:rPr>
            <w:noProof/>
            <w:webHidden/>
          </w:rPr>
          <w:fldChar w:fldCharType="end"/>
        </w:r>
      </w:hyperlink>
    </w:p>
    <w:p w14:paraId="4E3647AB" w14:textId="272F1DCA" w:rsidR="00ED1FB0" w:rsidRDefault="00000000" w:rsidP="00ED1FB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4195025" w:history="1">
        <w:r w:rsidR="00ED1FB0" w:rsidRPr="003C742E">
          <w:rPr>
            <w:rStyle w:val="Hyperlnk"/>
            <w:rFonts w:ascii="Public Sans" w:hAnsi="Public Sans"/>
            <w:noProof/>
          </w:rPr>
          <w:t>Hållbar resursanvändning</w:t>
        </w:r>
        <w:r w:rsidR="00ED1FB0">
          <w:rPr>
            <w:noProof/>
            <w:webHidden/>
          </w:rPr>
          <w:tab/>
        </w:r>
        <w:r w:rsidR="00ED1FB0">
          <w:rPr>
            <w:noProof/>
            <w:webHidden/>
          </w:rPr>
          <w:fldChar w:fldCharType="begin"/>
        </w:r>
        <w:r w:rsidR="00ED1FB0">
          <w:rPr>
            <w:noProof/>
            <w:webHidden/>
          </w:rPr>
          <w:instrText xml:space="preserve"> PAGEREF _Toc184195025 \h </w:instrText>
        </w:r>
        <w:r w:rsidR="00ED1FB0">
          <w:rPr>
            <w:noProof/>
            <w:webHidden/>
          </w:rPr>
        </w:r>
        <w:r w:rsidR="00ED1FB0">
          <w:rPr>
            <w:noProof/>
            <w:webHidden/>
          </w:rPr>
          <w:fldChar w:fldCharType="separate"/>
        </w:r>
        <w:r w:rsidR="00C45722">
          <w:rPr>
            <w:noProof/>
            <w:webHidden/>
          </w:rPr>
          <w:t>27</w:t>
        </w:r>
        <w:r w:rsidR="00ED1FB0">
          <w:rPr>
            <w:noProof/>
            <w:webHidden/>
          </w:rPr>
          <w:fldChar w:fldCharType="end"/>
        </w:r>
      </w:hyperlink>
    </w:p>
    <w:p w14:paraId="13684FFA" w14:textId="6E79FC6A" w:rsidR="00ED1FB0" w:rsidRDefault="00000000" w:rsidP="00ED1FB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4195026" w:history="1">
        <w:r w:rsidR="00ED1FB0" w:rsidRPr="003C742E">
          <w:rPr>
            <w:rStyle w:val="Hyperlnk"/>
            <w:rFonts w:ascii="Public Sans" w:hAnsi="Public Sans"/>
            <w:noProof/>
          </w:rPr>
          <w:t>Välfungerande arbetsplats</w:t>
        </w:r>
        <w:r w:rsidR="00ED1FB0">
          <w:rPr>
            <w:noProof/>
            <w:webHidden/>
          </w:rPr>
          <w:tab/>
        </w:r>
        <w:r w:rsidR="00ED1FB0">
          <w:rPr>
            <w:noProof/>
            <w:webHidden/>
          </w:rPr>
          <w:fldChar w:fldCharType="begin"/>
        </w:r>
        <w:r w:rsidR="00ED1FB0">
          <w:rPr>
            <w:noProof/>
            <w:webHidden/>
          </w:rPr>
          <w:instrText xml:space="preserve"> PAGEREF _Toc184195026 \h </w:instrText>
        </w:r>
        <w:r w:rsidR="00ED1FB0">
          <w:rPr>
            <w:noProof/>
            <w:webHidden/>
          </w:rPr>
        </w:r>
        <w:r w:rsidR="00ED1FB0">
          <w:rPr>
            <w:noProof/>
            <w:webHidden/>
          </w:rPr>
          <w:fldChar w:fldCharType="separate"/>
        </w:r>
        <w:r w:rsidR="00C45722">
          <w:rPr>
            <w:noProof/>
            <w:webHidden/>
          </w:rPr>
          <w:t>28</w:t>
        </w:r>
        <w:r w:rsidR="00ED1FB0">
          <w:rPr>
            <w:noProof/>
            <w:webHidden/>
          </w:rPr>
          <w:fldChar w:fldCharType="end"/>
        </w:r>
      </w:hyperlink>
    </w:p>
    <w:p w14:paraId="23D0F008" w14:textId="6CBC7D6C" w:rsidR="00ED1FB0" w:rsidRDefault="00000000" w:rsidP="00ED1FB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4195027" w:history="1">
        <w:r w:rsidR="00ED1FB0" w:rsidRPr="003C742E">
          <w:rPr>
            <w:rStyle w:val="Hyperlnk"/>
            <w:rFonts w:ascii="Public Sans" w:hAnsi="Public Sans"/>
            <w:noProof/>
          </w:rPr>
          <w:t>Ekonomi i balans</w:t>
        </w:r>
        <w:r w:rsidR="00ED1FB0">
          <w:rPr>
            <w:noProof/>
            <w:webHidden/>
          </w:rPr>
          <w:tab/>
        </w:r>
        <w:r w:rsidR="00ED1FB0">
          <w:rPr>
            <w:noProof/>
            <w:webHidden/>
          </w:rPr>
          <w:fldChar w:fldCharType="begin"/>
        </w:r>
        <w:r w:rsidR="00ED1FB0">
          <w:rPr>
            <w:noProof/>
            <w:webHidden/>
          </w:rPr>
          <w:instrText xml:space="preserve"> PAGEREF _Toc184195027 \h </w:instrText>
        </w:r>
        <w:r w:rsidR="00ED1FB0">
          <w:rPr>
            <w:noProof/>
            <w:webHidden/>
          </w:rPr>
        </w:r>
        <w:r w:rsidR="00ED1FB0">
          <w:rPr>
            <w:noProof/>
            <w:webHidden/>
          </w:rPr>
          <w:fldChar w:fldCharType="separate"/>
        </w:r>
        <w:r w:rsidR="00C45722">
          <w:rPr>
            <w:noProof/>
            <w:webHidden/>
          </w:rPr>
          <w:t>29</w:t>
        </w:r>
        <w:r w:rsidR="00ED1FB0">
          <w:rPr>
            <w:noProof/>
            <w:webHidden/>
          </w:rPr>
          <w:fldChar w:fldCharType="end"/>
        </w:r>
      </w:hyperlink>
    </w:p>
    <w:p w14:paraId="21951DF4" w14:textId="2433C51B" w:rsidR="00ED1FB0" w:rsidRDefault="00000000" w:rsidP="00ED1FB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4195028" w:history="1">
        <w:r w:rsidR="00ED1FB0" w:rsidRPr="003C742E">
          <w:rPr>
            <w:rStyle w:val="Hyperlnk"/>
            <w:rFonts w:ascii="Public Sans" w:hAnsi="Public Sans"/>
            <w:noProof/>
          </w:rPr>
          <w:t>Ekonomiska förutsättningar</w:t>
        </w:r>
        <w:r w:rsidR="00ED1FB0">
          <w:rPr>
            <w:noProof/>
            <w:webHidden/>
          </w:rPr>
          <w:tab/>
        </w:r>
        <w:r w:rsidR="00ED1FB0">
          <w:rPr>
            <w:noProof/>
            <w:webHidden/>
          </w:rPr>
          <w:fldChar w:fldCharType="begin"/>
        </w:r>
        <w:r w:rsidR="00ED1FB0">
          <w:rPr>
            <w:noProof/>
            <w:webHidden/>
          </w:rPr>
          <w:instrText xml:space="preserve"> PAGEREF _Toc184195028 \h </w:instrText>
        </w:r>
        <w:r w:rsidR="00ED1FB0">
          <w:rPr>
            <w:noProof/>
            <w:webHidden/>
          </w:rPr>
        </w:r>
        <w:r w:rsidR="00ED1FB0">
          <w:rPr>
            <w:noProof/>
            <w:webHidden/>
          </w:rPr>
          <w:fldChar w:fldCharType="separate"/>
        </w:r>
        <w:r w:rsidR="00C45722">
          <w:rPr>
            <w:noProof/>
            <w:webHidden/>
          </w:rPr>
          <w:t>30</w:t>
        </w:r>
        <w:r w:rsidR="00ED1FB0">
          <w:rPr>
            <w:noProof/>
            <w:webHidden/>
          </w:rPr>
          <w:fldChar w:fldCharType="end"/>
        </w:r>
      </w:hyperlink>
    </w:p>
    <w:p w14:paraId="70AAD235" w14:textId="1575A3FF" w:rsidR="00ED1FB0" w:rsidRDefault="00000000" w:rsidP="00ED1FB0">
      <w:pPr>
        <w:pStyle w:val="Innehll1"/>
        <w:rPr>
          <w:rFonts w:asciiTheme="minorHAnsi" w:eastAsiaTheme="minorEastAsia" w:hAnsiTheme="minorHAnsi"/>
          <w:noProof/>
          <w:kern w:val="2"/>
          <w:szCs w:val="22"/>
          <w:lang w:eastAsia="sv-SE"/>
          <w14:ligatures w14:val="standardContextual"/>
        </w:rPr>
      </w:pPr>
      <w:hyperlink w:anchor="_Toc184195029" w:history="1">
        <w:r w:rsidR="00ED1FB0" w:rsidRPr="003C742E">
          <w:rPr>
            <w:rStyle w:val="Hyperlnk"/>
            <w:rFonts w:ascii="Public Sans" w:hAnsi="Public Sans"/>
            <w:noProof/>
          </w:rPr>
          <w:t>Bilagor – resultatbudget</w:t>
        </w:r>
        <w:r w:rsidR="00ED1FB0">
          <w:rPr>
            <w:noProof/>
            <w:webHidden/>
          </w:rPr>
          <w:tab/>
        </w:r>
        <w:r w:rsidR="00ED1FB0">
          <w:rPr>
            <w:noProof/>
            <w:webHidden/>
          </w:rPr>
          <w:fldChar w:fldCharType="begin"/>
        </w:r>
        <w:r w:rsidR="00ED1FB0">
          <w:rPr>
            <w:noProof/>
            <w:webHidden/>
          </w:rPr>
          <w:instrText xml:space="preserve"> PAGEREF _Toc184195029 \h </w:instrText>
        </w:r>
        <w:r w:rsidR="00ED1FB0">
          <w:rPr>
            <w:noProof/>
            <w:webHidden/>
          </w:rPr>
        </w:r>
        <w:r w:rsidR="00ED1FB0">
          <w:rPr>
            <w:noProof/>
            <w:webHidden/>
          </w:rPr>
          <w:fldChar w:fldCharType="separate"/>
        </w:r>
        <w:r w:rsidR="00C45722">
          <w:rPr>
            <w:noProof/>
            <w:webHidden/>
          </w:rPr>
          <w:t>37</w:t>
        </w:r>
        <w:r w:rsidR="00ED1FB0">
          <w:rPr>
            <w:noProof/>
            <w:webHidden/>
          </w:rPr>
          <w:fldChar w:fldCharType="end"/>
        </w:r>
      </w:hyperlink>
    </w:p>
    <w:p w14:paraId="644F40C6" w14:textId="77777777" w:rsidR="00ED1FB0" w:rsidRPr="00886B27" w:rsidRDefault="00ED1FB0" w:rsidP="00ED1FB0">
      <w:pPr>
        <w:rPr>
          <w:szCs w:val="22"/>
        </w:rPr>
      </w:pPr>
      <w:r w:rsidRPr="00886B27">
        <w:rPr>
          <w:szCs w:val="22"/>
        </w:rPr>
        <w:fldChar w:fldCharType="end"/>
      </w:r>
      <w:r w:rsidRPr="00886B27">
        <w:rPr>
          <w:szCs w:val="22"/>
        </w:rPr>
        <w:br w:type="page"/>
      </w:r>
    </w:p>
    <w:p w14:paraId="4F74E025" w14:textId="77777777" w:rsidR="00ED1FB0" w:rsidRPr="0085069F" w:rsidRDefault="00ED1FB0" w:rsidP="00ED1FB0">
      <w:pPr>
        <w:pStyle w:val="Rubrik1"/>
        <w:rPr>
          <w:rFonts w:ascii="Public Sans" w:hAnsi="Public Sans"/>
          <w:sz w:val="36"/>
          <w:szCs w:val="36"/>
        </w:rPr>
      </w:pPr>
      <w:bookmarkStart w:id="0" w:name="_Toc184195012"/>
      <w:r w:rsidRPr="0085069F">
        <w:rPr>
          <w:rFonts w:ascii="Public Sans" w:hAnsi="Public Sans"/>
          <w:sz w:val="36"/>
          <w:szCs w:val="36"/>
        </w:rPr>
        <w:lastRenderedPageBreak/>
        <w:t>Inledning</w:t>
      </w:r>
      <w:bookmarkEnd w:id="0"/>
    </w:p>
    <w:p w14:paraId="51C7BAB7" w14:textId="77777777" w:rsidR="00ED1FB0" w:rsidRDefault="00ED1FB0" w:rsidP="00ED1FB0">
      <w:r>
        <w:t>Fastighets-</w:t>
      </w:r>
      <w:r>
        <w:rPr>
          <w:szCs w:val="22"/>
        </w:rPr>
        <w:t xml:space="preserve"> </w:t>
      </w:r>
      <w:r>
        <w:t>och servicenämndens verksamheter har en viktig roll. Allt som nämndens verksamheter gör, syftar till att underlätta för kärnverksamheterna att arbeta målinriktat och effektivt för skåningens bästa.</w:t>
      </w:r>
    </w:p>
    <w:p w14:paraId="7652DF0F" w14:textId="77777777" w:rsidR="00ED1FB0" w:rsidRPr="00B4331A" w:rsidRDefault="00ED1FB0" w:rsidP="00ED1FB0">
      <w:pPr>
        <w:rPr>
          <w:szCs w:val="22"/>
        </w:rPr>
      </w:pPr>
    </w:p>
    <w:p w14:paraId="644447D2" w14:textId="77777777" w:rsidR="00ED1FB0" w:rsidRPr="00B4331A" w:rsidRDefault="00ED1FB0" w:rsidP="00ED1FB0">
      <w:pPr>
        <w:rPr>
          <w:szCs w:val="22"/>
        </w:rPr>
      </w:pPr>
      <w:r w:rsidRPr="00B4331A">
        <w:rPr>
          <w:szCs w:val="22"/>
        </w:rPr>
        <w:t>Regionstyrelsen har beslutat om ett omställningsarbete med tre övergripande mål: ökad tillgänglighet, säkrad kompetensförsörjning och en god ekonomisk hushållning. Regionfastigheter och Regionservice bidrar aktivt i omställningen genom att arbetet under planperioden inriktas mot att bidra till dessa tre mål.</w:t>
      </w:r>
    </w:p>
    <w:p w14:paraId="2A84296B" w14:textId="77777777" w:rsidR="00ED1FB0" w:rsidRDefault="00ED1FB0" w:rsidP="00ED1FB0">
      <w:pPr>
        <w:rPr>
          <w:szCs w:val="22"/>
        </w:rPr>
      </w:pPr>
    </w:p>
    <w:p w14:paraId="2B35B774" w14:textId="77777777" w:rsidR="00ED1FB0" w:rsidRDefault="00ED1FB0" w:rsidP="00ED1FB0">
      <w:r>
        <w:t>Omställningen till Nära vård syftar till att göra det enklare och snabbare för medborgarna att få tillgång till rätt vård, i rätt tid och på rätt vårdnivå. Näravårdenheter etableras vid de skånska sjukhusen för att fylla gapet mellan primärvården och den specialiserade akutvården. Parallellt sker en omställning kopplat till universitetssjukvården, med en tydligare nivåstrukturering och en ökad ambitionsnivå för den högspecialiserade vården. Här har fastighets- och servicenämnden en mycket viktig uppgift i att följsamt och kompetent bidra till att infrastrukturen konstant utvecklas. Den nya planerings-</w:t>
      </w:r>
      <w:r>
        <w:rPr>
          <w:szCs w:val="22"/>
        </w:rPr>
        <w:t xml:space="preserve"> </w:t>
      </w:r>
      <w:r>
        <w:t>och byggprocessen innebär att verksamhetens behovsanalyser framöver kommer att bli mer tydligt riktade mot kommande behov samtidigt som arbetsflödena ska bli mer effektiva för en ökad produktivitet. Utifrån återkoppling från Region Skånes verksamheter, ser Regionfastigheter behov av att ytterligare stödja kunderna i deras behovsanalyser inför eventuell om- och tillbyggnationer av lokaler. Därför ska nyttjandegradsanalys genomföras i samband med alla större lokalförändringar för att säkerställa faktiskt behov och nyttjande.</w:t>
      </w:r>
    </w:p>
    <w:p w14:paraId="46CB9EDA" w14:textId="77777777" w:rsidR="00ED1FB0" w:rsidRPr="00B4331A" w:rsidRDefault="00ED1FB0" w:rsidP="00ED1FB0">
      <w:pPr>
        <w:rPr>
          <w:szCs w:val="22"/>
        </w:rPr>
      </w:pPr>
    </w:p>
    <w:p w14:paraId="0C99F680" w14:textId="77777777" w:rsidR="00ED1FB0" w:rsidRPr="00B4331A" w:rsidRDefault="00ED1FB0" w:rsidP="00ED1FB0">
      <w:r>
        <w:t>Det nystartartade regionala programkontoret ansvarar för att den nya planerings-</w:t>
      </w:r>
      <w:r>
        <w:rPr>
          <w:szCs w:val="22"/>
        </w:rPr>
        <w:t xml:space="preserve"> </w:t>
      </w:r>
      <w:r>
        <w:t>och byggprocessen tillämpas i ett samspel mellan politik, service-</w:t>
      </w:r>
      <w:r>
        <w:rPr>
          <w:szCs w:val="22"/>
        </w:rPr>
        <w:t xml:space="preserve"> </w:t>
      </w:r>
      <w:r>
        <w:t xml:space="preserve">och stödförvaltningar samt tillsammans med </w:t>
      </w:r>
      <w:r>
        <w:lastRenderedPageBreak/>
        <w:t>verksamheterna. Att förse verksamheterna med ändamålsenliga och effektiva lokaler har kanske aldrig varit viktigare än nu.</w:t>
      </w:r>
    </w:p>
    <w:p w14:paraId="09925628" w14:textId="77777777" w:rsidR="00ED1FB0" w:rsidRDefault="00ED1FB0" w:rsidP="00ED1FB0">
      <w:pPr>
        <w:rPr>
          <w:szCs w:val="22"/>
        </w:rPr>
      </w:pPr>
      <w:r w:rsidRPr="00B4331A">
        <w:rPr>
          <w:szCs w:val="22"/>
        </w:rPr>
        <w:t>Region Skånes nyligen antagna fastighetsägarstrategi stakar ut riktningen för arbetet. Med utgångspunkt i strategin, samordnar Regionfastigheter, tillsammans med det regionala programkontoret, arbetet med att se över behovet av Region Skånes investeringar på kort och lång sikt. Det kommer medföra att verksamheterna tar fram nya behovsanalyser och uppdaterade bedömningar med utgångspunkt i Framtidens hälsosystem.</w:t>
      </w:r>
    </w:p>
    <w:p w14:paraId="4E000536" w14:textId="77777777" w:rsidR="00ED1FB0" w:rsidRPr="00B4331A" w:rsidRDefault="00ED1FB0" w:rsidP="00ED1FB0">
      <w:pPr>
        <w:rPr>
          <w:szCs w:val="22"/>
        </w:rPr>
      </w:pPr>
    </w:p>
    <w:p w14:paraId="71D4C9CC" w14:textId="77777777" w:rsidR="00ED1FB0" w:rsidRDefault="00ED1FB0" w:rsidP="00ED1FB0">
      <w:r>
        <w:t>Nära vård innebär även att fokus skiftas mot patientens behov och mot rätt använd kompetens. Här blir stöd-</w:t>
      </w:r>
      <w:r>
        <w:rPr>
          <w:szCs w:val="22"/>
        </w:rPr>
        <w:t xml:space="preserve"> </w:t>
      </w:r>
      <w:r>
        <w:t>och serviceverksamheterna framöver mycket viktiga för att bidra till att medarbetarna i hälso- och sjukvården verkligen får ägna sin tid till patienterna och inte lägga tid på arbetsuppgifter som andra kan utföra bättre.</w:t>
      </w:r>
    </w:p>
    <w:p w14:paraId="0B4E8781" w14:textId="77777777" w:rsidR="00ED1FB0" w:rsidRPr="00B4331A" w:rsidRDefault="00ED1FB0" w:rsidP="00ED1FB0">
      <w:pPr>
        <w:rPr>
          <w:szCs w:val="22"/>
        </w:rPr>
      </w:pPr>
    </w:p>
    <w:p w14:paraId="5EB12505" w14:textId="77777777" w:rsidR="00ED1FB0" w:rsidRDefault="00ED1FB0" w:rsidP="00ED1FB0">
      <w:pPr>
        <w:rPr>
          <w:szCs w:val="22"/>
        </w:rPr>
      </w:pPr>
      <w:r w:rsidRPr="00B4331A">
        <w:rPr>
          <w:szCs w:val="22"/>
        </w:rPr>
        <w:t>Regionservice ska framöver bli en ännu mera självklar servicepartner än idag. Kärnverksamheten ska fokusera på det dom är bäst på och vi ska tillföra vårt stöd där vi kan tillföra som mest nytta. Kommande period ska vi fortsatt arbeta med uppgiftsväxling både i form av vårdnära tjänster och i form av annan avlastning till exempel när det gäller administrativa processer.</w:t>
      </w:r>
    </w:p>
    <w:p w14:paraId="4CE623C2" w14:textId="77777777" w:rsidR="00ED1FB0" w:rsidRPr="00B4331A" w:rsidRDefault="00ED1FB0" w:rsidP="00ED1FB0">
      <w:pPr>
        <w:rPr>
          <w:szCs w:val="22"/>
        </w:rPr>
      </w:pPr>
    </w:p>
    <w:p w14:paraId="33F69561" w14:textId="77777777" w:rsidR="00ED1FB0" w:rsidRPr="00B4331A" w:rsidRDefault="00ED1FB0" w:rsidP="00ED1FB0">
      <w:r>
        <w:t>För Regionservice är det även viktigt att ständigt förbättra samt hitta innovativa lösningar för att kunna möta förändrade kundbehov. Förvaltningen kommer under planperioden att testa innovativa lösningar där en av aktiviteterna är det fortsatta införandet av digitala måltidsbeställningar, ett initiativ som frigör tid för vården samt ökar patientens delaktighet i måltidsbeställningen.</w:t>
      </w:r>
    </w:p>
    <w:p w14:paraId="15CD8428" w14:textId="77777777" w:rsidR="00ED1FB0" w:rsidRDefault="00ED1FB0" w:rsidP="00ED1FB0">
      <w:pPr>
        <w:rPr>
          <w:szCs w:val="22"/>
        </w:rPr>
      </w:pPr>
    </w:p>
    <w:p w14:paraId="0853A4D0" w14:textId="77777777" w:rsidR="00ED1FB0" w:rsidRDefault="00ED1FB0" w:rsidP="00ED1FB0">
      <w:pPr>
        <w:rPr>
          <w:szCs w:val="22"/>
        </w:rPr>
      </w:pPr>
      <w:r w:rsidRPr="00B4331A">
        <w:rPr>
          <w:szCs w:val="22"/>
        </w:rPr>
        <w:t xml:space="preserve">Världsläget manar oss till eftertanke och framförhållning på ett helt nytt sätt. En stärkt beredskap och ökad robusthet krävs för att kunna möta möjligt allvarliga utmaningar framöver. Ett område är </w:t>
      </w:r>
      <w:r w:rsidRPr="00B4331A">
        <w:rPr>
          <w:szCs w:val="22"/>
        </w:rPr>
        <w:lastRenderedPageBreak/>
        <w:t>materialförsörjningen som måste fungera som avsett både i vardag och i kris. Som ett led i att stärka hälso- och sjukvårdens beredskap och bidra till en mer robust försörjning har Region Skåne beslutat om att etablera ett lager för materialförsörjning i egen regi, där Regionservice kommer att ansvara för införandet och driften av det nya lagret och materialförsörjningen.</w:t>
      </w:r>
    </w:p>
    <w:p w14:paraId="0BE66E79" w14:textId="77777777" w:rsidR="00ED1FB0" w:rsidRPr="00B4331A" w:rsidRDefault="00ED1FB0" w:rsidP="00ED1FB0">
      <w:pPr>
        <w:rPr>
          <w:szCs w:val="22"/>
        </w:rPr>
      </w:pPr>
    </w:p>
    <w:p w14:paraId="2228C032" w14:textId="77777777" w:rsidR="00ED1FB0" w:rsidRDefault="00ED1FB0" w:rsidP="00ED1FB0">
      <w:r>
        <w:t xml:space="preserve">När det gäller ökad robusthet så gäller det givetvis även för våra lokaler som måste hålla en hög grad av </w:t>
      </w:r>
      <w:r w:rsidRPr="00B4331A">
        <w:rPr>
          <w:szCs w:val="22"/>
        </w:rPr>
        <w:t>robusthet, samtidigt som vi bygger vidare för ett långsiktigt hållbart fastighetsbestånd. Regionfastigheter kommer, i samarbete med övriga förvaltningar, att tillsätta en ny krisberedskapsorganisation och förstärka arbetet med civilt försvar. Som en del av arbetet behöver Regionfastigheter klassificera samtliga fastigheter utifrån Myndigheten för samhällsskydd och beredskap</w:t>
      </w:r>
      <w:r>
        <w:rPr>
          <w:szCs w:val="22"/>
        </w:rPr>
        <w:t>s</w:t>
      </w:r>
      <w:r>
        <w:t>, MSB:s</w:t>
      </w:r>
      <w:r>
        <w:rPr>
          <w:szCs w:val="22"/>
        </w:rPr>
        <w:t>,</w:t>
      </w:r>
      <w:r>
        <w:t xml:space="preserve"> vägledning Den robusta sjukhusbyggnaden. Det är ett mycket omfattande arbete som kommer att spänna över flera år.</w:t>
      </w:r>
    </w:p>
    <w:p w14:paraId="10620666" w14:textId="77777777" w:rsidR="00ED1FB0" w:rsidRPr="00B4331A" w:rsidRDefault="00ED1FB0" w:rsidP="00ED1FB0">
      <w:pPr>
        <w:rPr>
          <w:szCs w:val="22"/>
        </w:rPr>
      </w:pPr>
    </w:p>
    <w:p w14:paraId="1B9C2E6E" w14:textId="77777777" w:rsidR="00ED1FB0" w:rsidRDefault="00ED1FB0" w:rsidP="00ED1FB0">
      <w:pPr>
        <w:rPr>
          <w:szCs w:val="22"/>
        </w:rPr>
      </w:pPr>
      <w:r w:rsidRPr="00B4331A">
        <w:rPr>
          <w:szCs w:val="22"/>
        </w:rPr>
        <w:t xml:space="preserve">Regionfastigheter avser utveckla hanteringen av certifieringen av byggprojekt enligt Sweden Green </w:t>
      </w:r>
      <w:proofErr w:type="spellStart"/>
      <w:r w:rsidRPr="00B4331A">
        <w:rPr>
          <w:szCs w:val="22"/>
        </w:rPr>
        <w:t>Building</w:t>
      </w:r>
      <w:proofErr w:type="spellEnd"/>
      <w:r w:rsidRPr="00B4331A">
        <w:rPr>
          <w:szCs w:val="22"/>
        </w:rPr>
        <w:t xml:space="preserve"> Councils verktyg Miljöbyggnad 4.0. Följden blir att fler projekt än tidigare ska certifieras enligt Miljöbyggnad.</w:t>
      </w:r>
    </w:p>
    <w:p w14:paraId="51ADEE5A" w14:textId="77777777" w:rsidR="00ED1FB0" w:rsidRPr="00B4331A" w:rsidRDefault="00ED1FB0" w:rsidP="00ED1FB0">
      <w:pPr>
        <w:rPr>
          <w:szCs w:val="22"/>
        </w:rPr>
      </w:pPr>
    </w:p>
    <w:p w14:paraId="189DDBF9" w14:textId="77777777" w:rsidR="00ED1FB0" w:rsidRPr="00B4331A" w:rsidRDefault="00ED1FB0" w:rsidP="00ED1FB0">
      <w:r>
        <w:t>Jag vill rikta ett varmt tack till alla kompetenta och engagerade medarbetare</w:t>
      </w:r>
      <w:r>
        <w:rPr>
          <w:szCs w:val="22"/>
        </w:rPr>
        <w:t>. E</w:t>
      </w:r>
      <w:r w:rsidRPr="00B4331A">
        <w:rPr>
          <w:szCs w:val="22"/>
        </w:rPr>
        <w:t>rt</w:t>
      </w:r>
      <w:r>
        <w:t xml:space="preserve"> arbete betyder och kommer fortsätta att betyda mycket för Region Skånes olika verksamheter. Jag ser fram emot ännu ett spännande och utvecklande år tillsammans med Regionfastigheter, Regionservice och mina kollegor i fastighets- och servicenämnden.</w:t>
      </w:r>
    </w:p>
    <w:p w14:paraId="7B0C9ACC" w14:textId="77777777" w:rsidR="00ED1FB0" w:rsidRPr="00B4331A" w:rsidRDefault="00ED1FB0" w:rsidP="00ED1FB0">
      <w:pPr>
        <w:rPr>
          <w:szCs w:val="22"/>
        </w:rPr>
      </w:pPr>
    </w:p>
    <w:p w14:paraId="2D9B7EEB" w14:textId="77777777" w:rsidR="00ED1FB0" w:rsidRPr="00886B27" w:rsidRDefault="00ED1FB0" w:rsidP="00ED1FB0">
      <w:pPr>
        <w:rPr>
          <w:szCs w:val="22"/>
        </w:rPr>
      </w:pPr>
      <w:r w:rsidRPr="7AF1ECE8">
        <w:rPr>
          <w:i/>
        </w:rPr>
        <w:t>Inger Tolsved Rosenkvist, ordförande fastighets- och servicenämnden</w:t>
      </w:r>
    </w:p>
    <w:p w14:paraId="4160CC1F" w14:textId="77777777" w:rsidR="00ED1FB0" w:rsidRPr="00886B27" w:rsidRDefault="00ED1FB0" w:rsidP="00ED1FB0">
      <w:pPr>
        <w:rPr>
          <w:szCs w:val="22"/>
        </w:rPr>
      </w:pPr>
      <w:r w:rsidRPr="00886B27">
        <w:rPr>
          <w:szCs w:val="22"/>
        </w:rPr>
        <w:br w:type="page"/>
      </w:r>
    </w:p>
    <w:p w14:paraId="3983976E" w14:textId="77777777" w:rsidR="00ED1FB0" w:rsidRPr="002F16BC" w:rsidRDefault="00ED1FB0" w:rsidP="00ED1FB0">
      <w:pPr>
        <w:pStyle w:val="Rubrik1"/>
        <w:rPr>
          <w:rFonts w:ascii="Public Sans" w:hAnsi="Public Sans"/>
          <w:sz w:val="36"/>
          <w:szCs w:val="36"/>
        </w:rPr>
      </w:pPr>
      <w:bookmarkStart w:id="1" w:name="_Toc184195013"/>
      <w:r w:rsidRPr="002F16BC">
        <w:rPr>
          <w:rFonts w:ascii="Public Sans" w:hAnsi="Public Sans"/>
          <w:sz w:val="36"/>
          <w:szCs w:val="36"/>
        </w:rPr>
        <w:lastRenderedPageBreak/>
        <w:t>Regionfastigheter</w:t>
      </w:r>
      <w:bookmarkEnd w:id="1"/>
    </w:p>
    <w:p w14:paraId="08552C75" w14:textId="77777777" w:rsidR="00ED1FB0" w:rsidRPr="002F16BC" w:rsidRDefault="00ED1FB0" w:rsidP="00ED1FB0">
      <w:pPr>
        <w:pStyle w:val="Rubrik2"/>
        <w:rPr>
          <w:rFonts w:ascii="Public Sans" w:hAnsi="Public Sans"/>
          <w:szCs w:val="32"/>
        </w:rPr>
      </w:pPr>
      <w:bookmarkStart w:id="2" w:name="_Toc184195014"/>
      <w:r w:rsidRPr="002F16BC">
        <w:rPr>
          <w:rFonts w:ascii="Public Sans" w:hAnsi="Public Sans"/>
          <w:szCs w:val="32"/>
        </w:rPr>
        <w:t>Regionfastigheters uppdrag</w:t>
      </w:r>
      <w:bookmarkEnd w:id="2"/>
    </w:p>
    <w:p w14:paraId="469741A5" w14:textId="77777777" w:rsidR="00ED1FB0" w:rsidRPr="00886B27" w:rsidRDefault="00ED1FB0" w:rsidP="00ED1FB0">
      <w:pPr>
        <w:rPr>
          <w:szCs w:val="22"/>
        </w:rPr>
      </w:pPr>
      <w:r w:rsidRPr="00886B27">
        <w:rPr>
          <w:szCs w:val="22"/>
        </w:rPr>
        <w:t>Regionfastigheter ansvarar för ägande, underhåll och utveckling av Region Skånes fastighetsbestånd samt för de externa förhyrningar där Region Skåne är hyresgäst.</w:t>
      </w:r>
    </w:p>
    <w:p w14:paraId="33BE392C" w14:textId="77777777" w:rsidR="00ED1FB0" w:rsidRPr="00886B27" w:rsidRDefault="00ED1FB0" w:rsidP="00ED1FB0">
      <w:pPr>
        <w:rPr>
          <w:szCs w:val="22"/>
        </w:rPr>
      </w:pPr>
    </w:p>
    <w:p w14:paraId="23A42BD8" w14:textId="77777777" w:rsidR="00ED1FB0" w:rsidRPr="00886B27" w:rsidRDefault="00ED1FB0" w:rsidP="00ED1FB0">
      <w:pPr>
        <w:rPr>
          <w:szCs w:val="22"/>
        </w:rPr>
      </w:pPr>
      <w:r w:rsidRPr="00886B27">
        <w:rPr>
          <w:szCs w:val="22"/>
        </w:rPr>
        <w:t>Uppdraget innebär att ansvara för fastighetsförvaltning, fastighetsdrift, fastighetsunderhåll, lokalförsörjning inklusive externa hyresavtal. Fastighetsunderhållet ska medverka till att bibehålla byggnadernas värde och funktion samt säkerställa en säker och energieffektiv drift såväl verksamhetsmässigt som tekniskt och hygieniskt.</w:t>
      </w:r>
    </w:p>
    <w:p w14:paraId="6C32D5A8" w14:textId="77777777" w:rsidR="00ED1FB0" w:rsidRPr="00886B27" w:rsidRDefault="00ED1FB0" w:rsidP="00ED1FB0">
      <w:pPr>
        <w:rPr>
          <w:szCs w:val="22"/>
        </w:rPr>
      </w:pPr>
    </w:p>
    <w:p w14:paraId="753B8637" w14:textId="77777777" w:rsidR="00ED1FB0" w:rsidRPr="00886B27" w:rsidRDefault="00ED1FB0" w:rsidP="00ED1FB0">
      <w:pPr>
        <w:rPr>
          <w:szCs w:val="22"/>
        </w:rPr>
      </w:pPr>
      <w:r w:rsidRPr="00886B27">
        <w:rPr>
          <w:szCs w:val="22"/>
        </w:rPr>
        <w:t>Vidare ingår ansvar för ekonomisk, teknisk och juridisk förvaltning av Region Skånes fastighetsbestånd samt att företräda Region Skåne som hyresvärd gentemot externa hyresgäster och som hyresgäst i förhållande till externa hyresvärdar.</w:t>
      </w:r>
    </w:p>
    <w:p w14:paraId="0798D34F" w14:textId="77777777" w:rsidR="00ED1FB0" w:rsidRPr="00886B27" w:rsidRDefault="00ED1FB0" w:rsidP="00ED1FB0">
      <w:pPr>
        <w:rPr>
          <w:szCs w:val="22"/>
        </w:rPr>
      </w:pPr>
    </w:p>
    <w:p w14:paraId="0CEF43C3" w14:textId="77777777" w:rsidR="00ED1FB0" w:rsidRPr="00886B27" w:rsidRDefault="00ED1FB0" w:rsidP="00ED1FB0">
      <w:pPr>
        <w:rPr>
          <w:szCs w:val="22"/>
        </w:rPr>
      </w:pPr>
      <w:r w:rsidRPr="00886B27">
        <w:rPr>
          <w:szCs w:val="22"/>
        </w:rPr>
        <w:t>Den samlade planerings- och byggprocessen från behovsanalys till idrifttagande vid ny- och ombyggnationer i Region Skånes fastigheter ligger också inom Regionfastigheters ansvarsområde. Arbetet med behovsanalys och planering ska ske i nära samverkan med berörd verksamhet. Översyn av ansvarsfördelningen genomförs i samband med det nystartade programkontoret.</w:t>
      </w:r>
    </w:p>
    <w:p w14:paraId="52073CF2" w14:textId="77777777" w:rsidR="00ED1FB0" w:rsidRPr="00886B27" w:rsidRDefault="00ED1FB0" w:rsidP="00ED1FB0">
      <w:pPr>
        <w:rPr>
          <w:szCs w:val="22"/>
        </w:rPr>
      </w:pPr>
    </w:p>
    <w:p w14:paraId="7AB9F716" w14:textId="77777777" w:rsidR="00ED1FB0" w:rsidRPr="00886B27" w:rsidRDefault="00ED1FB0" w:rsidP="00ED1FB0">
      <w:pPr>
        <w:rPr>
          <w:szCs w:val="22"/>
        </w:rPr>
      </w:pPr>
      <w:r w:rsidRPr="00886B27">
        <w:rPr>
          <w:szCs w:val="22"/>
        </w:rPr>
        <w:t>I uppdraget ingår också ansvar för genomförandet av regionfullmäktiges och regionstyrelsens policys och riktlinjer för energieffektiviseringar och miljöförbättrande åtgärder inom fastighetsägaransvaret.</w:t>
      </w:r>
    </w:p>
    <w:p w14:paraId="4B490BC4" w14:textId="77777777" w:rsidR="00ED1FB0" w:rsidRPr="00886B27" w:rsidRDefault="00ED1FB0" w:rsidP="00ED1FB0">
      <w:pPr>
        <w:rPr>
          <w:szCs w:val="22"/>
        </w:rPr>
      </w:pPr>
    </w:p>
    <w:p w14:paraId="4C5532F2" w14:textId="77777777" w:rsidR="00ED1FB0" w:rsidRPr="003C02EA" w:rsidRDefault="00ED1FB0" w:rsidP="00ED1FB0">
      <w:pPr>
        <w:pStyle w:val="Rubrik2"/>
        <w:rPr>
          <w:rFonts w:ascii="Public Sans" w:hAnsi="Public Sans"/>
        </w:rPr>
      </w:pPr>
      <w:bookmarkStart w:id="3" w:name="_Toc184195015"/>
      <w:r w:rsidRPr="003C02EA">
        <w:rPr>
          <w:rFonts w:ascii="Public Sans" w:hAnsi="Public Sans"/>
        </w:rPr>
        <w:lastRenderedPageBreak/>
        <w:t>Övergripande mål för planperioden</w:t>
      </w:r>
      <w:bookmarkEnd w:id="3"/>
    </w:p>
    <w:p w14:paraId="7B905875" w14:textId="77777777" w:rsidR="00ED1FB0" w:rsidRPr="00886B27" w:rsidRDefault="00ED1FB0" w:rsidP="00ED1FB0">
      <w:pPr>
        <w:rPr>
          <w:szCs w:val="22"/>
        </w:rPr>
      </w:pPr>
      <w:r w:rsidRPr="003C02EA">
        <w:rPr>
          <w:rFonts w:ascii="Public Sans" w:hAnsi="Public Sans"/>
          <w:noProof/>
          <w:szCs w:val="22"/>
          <w:lang w:eastAsia="sv-SE"/>
        </w:rPr>
        <w:drawing>
          <wp:anchor distT="0" distB="0" distL="114300" distR="114300" simplePos="0" relativeHeight="251660288" behindDoc="1" locked="0" layoutInCell="1" allowOverlap="1" wp14:anchorId="62D0302A" wp14:editId="67D4AE0C">
            <wp:simplePos x="0" y="0"/>
            <wp:positionH relativeFrom="column">
              <wp:posOffset>2875915</wp:posOffset>
            </wp:positionH>
            <wp:positionV relativeFrom="paragraph">
              <wp:posOffset>213868</wp:posOffset>
            </wp:positionV>
            <wp:extent cx="2660319" cy="2660319"/>
            <wp:effectExtent l="0" t="0" r="0" b="0"/>
            <wp:wrapTight wrapText="bothSides">
              <wp:wrapPolygon edited="0">
                <wp:start x="8817" y="1702"/>
                <wp:lineTo x="4177" y="4022"/>
                <wp:lineTo x="4022" y="4641"/>
                <wp:lineTo x="2475" y="6961"/>
                <wp:lineTo x="1856" y="9436"/>
                <wp:lineTo x="1856" y="11911"/>
                <wp:lineTo x="2630" y="14386"/>
                <wp:lineTo x="4331" y="16861"/>
                <wp:lineTo x="4486" y="17325"/>
                <wp:lineTo x="8663" y="19182"/>
                <wp:lineTo x="9591" y="19491"/>
                <wp:lineTo x="11911" y="19491"/>
                <wp:lineTo x="12839" y="19182"/>
                <wp:lineTo x="16861" y="17325"/>
                <wp:lineTo x="17016" y="16861"/>
                <wp:lineTo x="18718" y="14386"/>
                <wp:lineTo x="19491" y="11911"/>
                <wp:lineTo x="19646" y="9436"/>
                <wp:lineTo x="18872" y="6961"/>
                <wp:lineTo x="17635" y="5105"/>
                <wp:lineTo x="17171" y="4177"/>
                <wp:lineTo x="13767" y="2166"/>
                <wp:lineTo x="12685" y="1702"/>
                <wp:lineTo x="8817" y="1702"/>
              </wp:wrapPolygon>
            </wp:wrapTight>
            <wp:docPr id="922294087" name="Bildobjekt 1" descr="En bild som visar text, cirkel,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94087" name="Bildobjekt 1" descr="En bild som visar text, cirkel, skärmbild, Teckensnitt&#10;&#10;Automatiskt genererad beskrivning"/>
                    <pic:cNvPicPr/>
                  </pic:nvPicPr>
                  <pic:blipFill>
                    <a:blip r:embed="rId16">
                      <a:extLst>
                        <a:ext uri="{28A0092B-C50C-407E-A947-70E740481C1C}">
                          <a14:useLocalDpi xmlns:a14="http://schemas.microsoft.com/office/drawing/2010/main" val="0"/>
                        </a:ext>
                      </a:extLst>
                    </a:blip>
                    <a:stretch>
                      <a:fillRect/>
                    </a:stretch>
                  </pic:blipFill>
                  <pic:spPr>
                    <a:xfrm>
                      <a:off x="0" y="0"/>
                      <a:ext cx="2660319" cy="2660319"/>
                    </a:xfrm>
                    <a:prstGeom prst="rect">
                      <a:avLst/>
                    </a:prstGeom>
                  </pic:spPr>
                </pic:pic>
              </a:graphicData>
            </a:graphic>
          </wp:anchor>
        </w:drawing>
      </w:r>
      <w:r w:rsidRPr="00886B27">
        <w:rPr>
          <w:szCs w:val="22"/>
        </w:rPr>
        <w:t xml:space="preserve">För att bidra till Region Skånes vision </w:t>
      </w:r>
      <w:r w:rsidRPr="00886B27">
        <w:rPr>
          <w:i/>
          <w:iCs/>
          <w:szCs w:val="22"/>
        </w:rPr>
        <w:t>Framtidstro och livskvalitet</w:t>
      </w:r>
      <w:r w:rsidRPr="00886B27">
        <w:rPr>
          <w:szCs w:val="22"/>
        </w:rPr>
        <w:t xml:space="preserve"> har regionfullmäktige beslutat om fem övergripande mål: Bättre liv och hälsa för fler; Tillgänglighet och kvalitet; Hållbar utveckling i hela Skåne; Attraktiv arbetsgivare och professionell verksamhet samt Långsiktigt stark ekonomi. Region Skånes resurser är medarbetarna, verksamheten och ekonomin. Organisationskulturen utgår från de gemensamma värderingarna</w:t>
      </w:r>
      <w:r>
        <w:rPr>
          <w:szCs w:val="22"/>
        </w:rPr>
        <w:t xml:space="preserve">: </w:t>
      </w:r>
      <w:r w:rsidRPr="00886B27">
        <w:rPr>
          <w:szCs w:val="22"/>
        </w:rPr>
        <w:t>välkomnande, drivande, omtanke och respekt.</w:t>
      </w:r>
    </w:p>
    <w:p w14:paraId="6B9E8BF1" w14:textId="77777777" w:rsidR="00ED1FB0" w:rsidRPr="00886B27" w:rsidRDefault="00ED1FB0" w:rsidP="00ED1FB0">
      <w:pPr>
        <w:rPr>
          <w:szCs w:val="22"/>
        </w:rPr>
      </w:pPr>
    </w:p>
    <w:p w14:paraId="3C6B9E1A" w14:textId="77777777" w:rsidR="00ED1FB0" w:rsidRPr="00886B27" w:rsidRDefault="00ED1FB0" w:rsidP="00ED1FB0">
      <w:r>
        <w:t>Utifrån Region Skånes ansträngda ekonomiska situation beslutade regionstyrelsen inför planperioden 2024–2026 om ett omställningsarbete med tre övergripande mål: ökad tillgänglighet, säkrad kompetensförsörjning och en god ekonomisk hushållning. Arbetet under planperioden inriktas mot att bidra till dessa tre mål och ska genomföras inom sex omställningsområden, varav fyra berör Regionfastigheter.</w:t>
      </w:r>
    </w:p>
    <w:p w14:paraId="079D2789" w14:textId="77777777" w:rsidR="00ED1FB0" w:rsidRPr="00886B27" w:rsidRDefault="00ED1FB0" w:rsidP="00ED1FB0">
      <w:pPr>
        <w:rPr>
          <w:szCs w:val="22"/>
        </w:rPr>
      </w:pPr>
    </w:p>
    <w:p w14:paraId="33026F50" w14:textId="77777777" w:rsidR="00ED1FB0" w:rsidRPr="00886B27" w:rsidRDefault="00ED1FB0" w:rsidP="00ED1FB0">
      <w:pPr>
        <w:pStyle w:val="Liststycke"/>
        <w:numPr>
          <w:ilvl w:val="0"/>
          <w:numId w:val="17"/>
        </w:numPr>
        <w:rPr>
          <w:szCs w:val="22"/>
        </w:rPr>
      </w:pPr>
      <w:r w:rsidRPr="00886B27">
        <w:rPr>
          <w:szCs w:val="22"/>
        </w:rPr>
        <w:t>Övergripande styrnings- och strukturfrågor inom hälso- och sjukvården</w:t>
      </w:r>
    </w:p>
    <w:p w14:paraId="7F7520E8" w14:textId="77777777" w:rsidR="00ED1FB0" w:rsidRPr="00886B27" w:rsidRDefault="00ED1FB0" w:rsidP="00ED1FB0">
      <w:pPr>
        <w:pStyle w:val="Liststycke"/>
        <w:numPr>
          <w:ilvl w:val="0"/>
          <w:numId w:val="17"/>
        </w:numPr>
        <w:rPr>
          <w:szCs w:val="22"/>
        </w:rPr>
      </w:pPr>
      <w:r w:rsidRPr="00886B27">
        <w:rPr>
          <w:szCs w:val="22"/>
        </w:rPr>
        <w:t>Verksamhets- och producentrelaterade utmaningar inom hälso- och sjukvården</w:t>
      </w:r>
    </w:p>
    <w:p w14:paraId="4B7C641C" w14:textId="77777777" w:rsidR="00ED1FB0" w:rsidRPr="00886B27" w:rsidRDefault="00ED1FB0" w:rsidP="00ED1FB0">
      <w:pPr>
        <w:pStyle w:val="Liststycke"/>
        <w:numPr>
          <w:ilvl w:val="0"/>
          <w:numId w:val="17"/>
        </w:numPr>
        <w:rPr>
          <w:szCs w:val="22"/>
        </w:rPr>
      </w:pPr>
      <w:r w:rsidRPr="00886B27">
        <w:rPr>
          <w:szCs w:val="22"/>
        </w:rPr>
        <w:t>Kompetensförsörjning (…och bemanningsrelaterade frågor)</w:t>
      </w:r>
    </w:p>
    <w:p w14:paraId="7E195B83" w14:textId="77777777" w:rsidR="00ED1FB0" w:rsidRPr="00886B27" w:rsidRDefault="00ED1FB0" w:rsidP="00ED1FB0">
      <w:pPr>
        <w:pStyle w:val="Liststycke"/>
        <w:numPr>
          <w:ilvl w:val="0"/>
          <w:numId w:val="17"/>
        </w:numPr>
        <w:rPr>
          <w:szCs w:val="22"/>
        </w:rPr>
      </w:pPr>
      <w:r w:rsidRPr="00886B27">
        <w:rPr>
          <w:szCs w:val="22"/>
        </w:rPr>
        <w:t>Inköp och materialförsörjning</w:t>
      </w:r>
    </w:p>
    <w:p w14:paraId="2DD8AC86" w14:textId="77777777" w:rsidR="00ED1FB0" w:rsidRPr="00886B27" w:rsidRDefault="00ED1FB0" w:rsidP="00ED1FB0">
      <w:pPr>
        <w:pStyle w:val="Liststycke"/>
        <w:numPr>
          <w:ilvl w:val="0"/>
          <w:numId w:val="17"/>
        </w:numPr>
        <w:rPr>
          <w:szCs w:val="22"/>
        </w:rPr>
      </w:pPr>
      <w:r w:rsidRPr="00886B27">
        <w:rPr>
          <w:szCs w:val="22"/>
        </w:rPr>
        <w:t>Serviceförvaltningarnas roll, mandat och kostnadsutveckling</w:t>
      </w:r>
    </w:p>
    <w:p w14:paraId="6C5F54F0" w14:textId="77777777" w:rsidR="00ED1FB0" w:rsidRPr="00886B27" w:rsidRDefault="00ED1FB0" w:rsidP="00ED1FB0">
      <w:pPr>
        <w:pStyle w:val="Liststycke"/>
        <w:numPr>
          <w:ilvl w:val="0"/>
          <w:numId w:val="17"/>
        </w:numPr>
        <w:rPr>
          <w:szCs w:val="22"/>
        </w:rPr>
      </w:pPr>
      <w:r w:rsidRPr="00886B27">
        <w:rPr>
          <w:szCs w:val="22"/>
        </w:rPr>
        <w:t>Administration och IT-stöd</w:t>
      </w:r>
    </w:p>
    <w:p w14:paraId="204A673D" w14:textId="77777777" w:rsidR="00ED1FB0" w:rsidRPr="00886B27" w:rsidRDefault="00ED1FB0" w:rsidP="00ED1FB0">
      <w:pPr>
        <w:rPr>
          <w:szCs w:val="22"/>
        </w:rPr>
      </w:pPr>
    </w:p>
    <w:p w14:paraId="61673FF0" w14:textId="77777777" w:rsidR="00ED1FB0" w:rsidRPr="004822B7" w:rsidRDefault="00ED1FB0" w:rsidP="00ED1FB0">
      <w:pPr>
        <w:rPr>
          <w:rFonts w:ascii="Public Sans" w:hAnsi="Public Sans"/>
          <w:b/>
          <w:bCs/>
          <w:szCs w:val="22"/>
        </w:rPr>
      </w:pPr>
      <w:r w:rsidRPr="004822B7">
        <w:rPr>
          <w:rFonts w:ascii="Public Sans" w:hAnsi="Public Sans"/>
          <w:b/>
          <w:bCs/>
          <w:szCs w:val="22"/>
        </w:rPr>
        <w:t>Utveckla långsiktigt hållbart fastighetsägarskap</w:t>
      </w:r>
    </w:p>
    <w:p w14:paraId="510CBD8B" w14:textId="77777777" w:rsidR="00ED1FB0" w:rsidRPr="00886B27" w:rsidRDefault="00ED1FB0" w:rsidP="00ED1FB0">
      <w:pPr>
        <w:rPr>
          <w:szCs w:val="22"/>
        </w:rPr>
      </w:pPr>
      <w:r w:rsidRPr="00886B27">
        <w:rPr>
          <w:szCs w:val="22"/>
        </w:rPr>
        <w:t xml:space="preserve">Regionfastigheters fokus är, även fortsättningsvis, i första hand förvaltningens grunduppdrag – ägande, underhåll och utveckling av Region Skånes fastighetsbestånd samt ansvar för de externa </w:t>
      </w:r>
      <w:r w:rsidRPr="00886B27">
        <w:rPr>
          <w:szCs w:val="22"/>
        </w:rPr>
        <w:lastRenderedPageBreak/>
        <w:t xml:space="preserve">förhyrningar där Region Skåne är hyresgäst. Region Skånes nyligen antagna fastighetsägarstrategi stakar ut riktningen för arbetet. Med utgångspunkt i strategin, samordnar Regionfastigheter, tillsammans med Koncernkontorets programkontor, arbetet med att se över behovet av Region Skånes investeringar på kort och lång sikt. Investeringsvolymen behöver minska och förskjutas i tid. Det kommer medföra nya behovsanalyser och uppdaterade bedömningar som tydligare genomförs med utgångspunkt i </w:t>
      </w:r>
      <w:r w:rsidRPr="00886B27">
        <w:rPr>
          <w:i/>
          <w:iCs/>
          <w:szCs w:val="22"/>
        </w:rPr>
        <w:t>Framtidens hälsosystem</w:t>
      </w:r>
      <w:r w:rsidRPr="00886B27">
        <w:rPr>
          <w:szCs w:val="22"/>
        </w:rPr>
        <w:t xml:space="preserve">, det nystartade arbetet med </w:t>
      </w:r>
      <w:r w:rsidRPr="00886B27">
        <w:rPr>
          <w:i/>
          <w:iCs/>
          <w:szCs w:val="22"/>
        </w:rPr>
        <w:t>Nära vård</w:t>
      </w:r>
      <w:r w:rsidRPr="00886B27">
        <w:rPr>
          <w:szCs w:val="22"/>
        </w:rPr>
        <w:t xml:space="preserve"> och en ökad standardisering av vårdlokaler. Sjukhusförvaltningarnas långsiktiga behov behöver samordnas och prioriteras i en regional vårdutbudskarta.</w:t>
      </w:r>
    </w:p>
    <w:p w14:paraId="70D051CA" w14:textId="77777777" w:rsidR="00ED1FB0" w:rsidRPr="00886B27" w:rsidRDefault="00ED1FB0" w:rsidP="00ED1FB0">
      <w:pPr>
        <w:rPr>
          <w:szCs w:val="22"/>
        </w:rPr>
      </w:pPr>
    </w:p>
    <w:p w14:paraId="02DE997D" w14:textId="77777777" w:rsidR="00ED1FB0" w:rsidRPr="00886B27" w:rsidRDefault="00ED1FB0" w:rsidP="00ED1FB0">
      <w:pPr>
        <w:rPr>
          <w:szCs w:val="22"/>
        </w:rPr>
      </w:pPr>
      <w:r w:rsidRPr="00886B27">
        <w:rPr>
          <w:szCs w:val="22"/>
        </w:rPr>
        <w:t>I planeringen av nya sjukhusområden, byggrådsinvesteringar och andra strategiska projekt är det avgörande att dimensioneringen sker utifrån samordnad regional prioritering av var verksamheten ska bedrivas på kort och lång sikt med ett helhetsperspektiv på kapacitets- och nyttjandegradsfrågor. Dessutom behöver investeringarna leda till kvalitets- och produktivitetsökningar i vården.</w:t>
      </w:r>
    </w:p>
    <w:p w14:paraId="30B3017D" w14:textId="77777777" w:rsidR="00ED1FB0" w:rsidRPr="00886B27" w:rsidRDefault="00ED1FB0" w:rsidP="00ED1FB0">
      <w:pPr>
        <w:rPr>
          <w:szCs w:val="22"/>
        </w:rPr>
      </w:pPr>
    </w:p>
    <w:p w14:paraId="5E4CF147" w14:textId="77777777" w:rsidR="00ED1FB0" w:rsidRPr="00886B27" w:rsidRDefault="00ED1FB0" w:rsidP="00ED1FB0">
      <w:pPr>
        <w:rPr>
          <w:szCs w:val="22"/>
        </w:rPr>
      </w:pPr>
      <w:r w:rsidRPr="00886B27">
        <w:rPr>
          <w:i/>
          <w:iCs/>
          <w:szCs w:val="22"/>
        </w:rPr>
        <w:t>Fastighetsägarstrategin</w:t>
      </w:r>
      <w:r w:rsidRPr="00886B27">
        <w:rPr>
          <w:szCs w:val="22"/>
        </w:rPr>
        <w:t xml:space="preserve"> samt </w:t>
      </w:r>
      <w:r w:rsidRPr="00886B27">
        <w:rPr>
          <w:i/>
          <w:iCs/>
          <w:szCs w:val="22"/>
        </w:rPr>
        <w:t>Strategin för grön infrastruktur</w:t>
      </w:r>
      <w:r w:rsidRPr="00886B27">
        <w:rPr>
          <w:szCs w:val="22"/>
        </w:rPr>
        <w:t xml:space="preserve"> omsätts i en handlingsplan som definierar det fortsatta arbetet. Bland annat avser Regionfastigheter att, i samarbete med Region Skånes verksamheter, utarbeta en regional lokalförsörjningsplan som innehåller aktuell status inom samtliga fastigheter inklusive en långsiktig plan för hur dessa bör utvecklas och vilka verksamheter de bör rymma på sikt.</w:t>
      </w:r>
    </w:p>
    <w:p w14:paraId="48D10B9B" w14:textId="77777777" w:rsidR="00ED1FB0" w:rsidRPr="00886B27" w:rsidRDefault="00ED1FB0" w:rsidP="00ED1FB0">
      <w:pPr>
        <w:rPr>
          <w:szCs w:val="22"/>
        </w:rPr>
      </w:pPr>
    </w:p>
    <w:p w14:paraId="16B718D8" w14:textId="77777777" w:rsidR="00ED1FB0" w:rsidRPr="004822B7" w:rsidRDefault="00ED1FB0" w:rsidP="00ED1FB0">
      <w:pPr>
        <w:rPr>
          <w:rFonts w:ascii="Public Sans" w:hAnsi="Public Sans"/>
          <w:b/>
          <w:bCs/>
          <w:szCs w:val="22"/>
        </w:rPr>
      </w:pPr>
      <w:r w:rsidRPr="004822B7">
        <w:rPr>
          <w:rFonts w:ascii="Public Sans" w:hAnsi="Public Sans"/>
          <w:b/>
          <w:bCs/>
          <w:szCs w:val="22"/>
        </w:rPr>
        <w:t>Uppdatera hanteringen av miljöbyggnadscertifiering</w:t>
      </w:r>
    </w:p>
    <w:p w14:paraId="0940E0A7" w14:textId="77777777" w:rsidR="00ED1FB0" w:rsidRPr="00886B27" w:rsidRDefault="00ED1FB0" w:rsidP="00ED1FB0">
      <w:pPr>
        <w:rPr>
          <w:szCs w:val="22"/>
        </w:rPr>
      </w:pPr>
      <w:r w:rsidRPr="00886B27">
        <w:rPr>
          <w:szCs w:val="22"/>
        </w:rPr>
        <w:t xml:space="preserve">Regionfastigheter avser utveckla hanteringen av certifieringen av byggprojekt enligt Sweden Green </w:t>
      </w:r>
      <w:proofErr w:type="spellStart"/>
      <w:r w:rsidRPr="00886B27">
        <w:rPr>
          <w:szCs w:val="22"/>
        </w:rPr>
        <w:t>Building</w:t>
      </w:r>
      <w:proofErr w:type="spellEnd"/>
      <w:r w:rsidRPr="00886B27">
        <w:rPr>
          <w:szCs w:val="22"/>
        </w:rPr>
        <w:t xml:space="preserve"> Councils verktyg </w:t>
      </w:r>
      <w:r w:rsidRPr="00886B27">
        <w:rPr>
          <w:i/>
          <w:iCs/>
          <w:szCs w:val="22"/>
        </w:rPr>
        <w:t>Miljöbyggnad 4.0</w:t>
      </w:r>
      <w:r w:rsidRPr="00886B27">
        <w:rPr>
          <w:szCs w:val="22"/>
        </w:rPr>
        <w:t xml:space="preserve">. Framöver ska beslut om certifiering inte avgöras av beloppsgräns utan av projekttyp och genomföras vid nybyggnad, tillbyggnad och ombyggnad. Följden blir att fler projekt än tidigare ska certifieras enligt Miljöbyggnad. De tillkommande projekten rör i </w:t>
      </w:r>
      <w:r w:rsidRPr="00886B27">
        <w:rPr>
          <w:szCs w:val="22"/>
        </w:rPr>
        <w:lastRenderedPageBreak/>
        <w:t>första hand ombyggnadsprojekt inom kostnadsspannet 10–50 miljoner kronor.</w:t>
      </w:r>
    </w:p>
    <w:p w14:paraId="18F71367" w14:textId="77777777" w:rsidR="00ED1FB0" w:rsidRPr="00886B27" w:rsidRDefault="00ED1FB0" w:rsidP="00ED1FB0">
      <w:pPr>
        <w:spacing w:line="252" w:lineRule="auto"/>
        <w:rPr>
          <w:szCs w:val="22"/>
        </w:rPr>
      </w:pPr>
    </w:p>
    <w:p w14:paraId="59B01AC0" w14:textId="77777777" w:rsidR="00ED1FB0" w:rsidRPr="00886B27" w:rsidRDefault="00ED1FB0" w:rsidP="00ED1FB0">
      <w:pPr>
        <w:rPr>
          <w:szCs w:val="22"/>
        </w:rPr>
      </w:pPr>
      <w:r w:rsidRPr="00886B27">
        <w:rPr>
          <w:szCs w:val="22"/>
        </w:rPr>
        <w:t xml:space="preserve">Certifiering enligt Miljöbyggnad 4.0 ska, liksom tidigare, som lägst vara enligt </w:t>
      </w:r>
      <w:proofErr w:type="gramStart"/>
      <w:r w:rsidRPr="00886B27">
        <w:rPr>
          <w:szCs w:val="22"/>
        </w:rPr>
        <w:t>nivå silver</w:t>
      </w:r>
      <w:proofErr w:type="gramEnd"/>
      <w:r w:rsidRPr="00886B27">
        <w:rPr>
          <w:szCs w:val="22"/>
        </w:rPr>
        <w:t xml:space="preserve"> på byggnadsnivå. Eftersom kraven som ingår i </w:t>
      </w:r>
      <w:proofErr w:type="gramStart"/>
      <w:r w:rsidRPr="00886B27">
        <w:rPr>
          <w:szCs w:val="22"/>
        </w:rPr>
        <w:t>nivå silver</w:t>
      </w:r>
      <w:proofErr w:type="gramEnd"/>
      <w:r w:rsidRPr="00886B27">
        <w:rPr>
          <w:szCs w:val="22"/>
        </w:rPr>
        <w:t xml:space="preserve"> har höjts i övergången från tidigare använda verktyg Miljöbyggnad 3.2 till det nya Miljöbyggnad 4.0 innebär detta en skärpning.</w:t>
      </w:r>
    </w:p>
    <w:p w14:paraId="53FF2AC4" w14:textId="77777777" w:rsidR="00ED1FB0" w:rsidRPr="00886B27" w:rsidRDefault="00ED1FB0" w:rsidP="00ED1FB0">
      <w:pPr>
        <w:rPr>
          <w:szCs w:val="22"/>
        </w:rPr>
      </w:pPr>
    </w:p>
    <w:p w14:paraId="7F187412" w14:textId="77777777" w:rsidR="00ED1FB0" w:rsidRPr="00886B27" w:rsidRDefault="00ED1FB0" w:rsidP="00ED1FB0">
      <w:pPr>
        <w:rPr>
          <w:szCs w:val="22"/>
        </w:rPr>
      </w:pPr>
      <w:r w:rsidRPr="00886B27">
        <w:rPr>
          <w:szCs w:val="22"/>
        </w:rPr>
        <w:t xml:space="preserve">Inom område ”energi och klimat” ska, jämfört med Miljöbyggnad 3.2, nivån sänkas från guld till silver. Övergången till Miljöbyggnad 4.0 har i praktiken inneburit att det blivit betydligt svårare att uppnå </w:t>
      </w:r>
      <w:proofErr w:type="gramStart"/>
      <w:r w:rsidRPr="00886B27">
        <w:rPr>
          <w:szCs w:val="22"/>
        </w:rPr>
        <w:t>nivå guld</w:t>
      </w:r>
      <w:proofErr w:type="gramEnd"/>
      <w:r w:rsidRPr="00886B27">
        <w:rPr>
          <w:szCs w:val="22"/>
        </w:rPr>
        <w:t xml:space="preserve"> på energi- och klimatområdet för sjukhusbyggnader. Detta relaterar huvudsakligen till robusthetskrav enligt Myndigheten för samhällsskydd och beredskaps, MSB, </w:t>
      </w:r>
      <w:r w:rsidRPr="00886B27">
        <w:rPr>
          <w:i/>
          <w:iCs/>
          <w:szCs w:val="22"/>
        </w:rPr>
        <w:t>Den robusta sjukhusbyggnaden</w:t>
      </w:r>
      <w:r w:rsidRPr="00886B27">
        <w:rPr>
          <w:szCs w:val="22"/>
        </w:rPr>
        <w:t xml:space="preserve">. Förändringen innebär i praktiken inte någon sänkning av ambitionsnivån då kraven i certifieringen stramats upp i övergången. </w:t>
      </w:r>
      <w:r w:rsidRPr="00886B27">
        <w:rPr>
          <w:rFonts w:eastAsia="Times New Roman"/>
          <w:szCs w:val="22"/>
        </w:rPr>
        <w:t xml:space="preserve">Förvaltningen har för avsikt att systematiskt arbeta med frågan för att sträva efter att </w:t>
      </w:r>
      <w:proofErr w:type="gramStart"/>
      <w:r w:rsidRPr="00886B27">
        <w:rPr>
          <w:rFonts w:eastAsia="Times New Roman"/>
          <w:szCs w:val="22"/>
        </w:rPr>
        <w:t>nivå guld</w:t>
      </w:r>
      <w:proofErr w:type="gramEnd"/>
      <w:r w:rsidRPr="00886B27">
        <w:rPr>
          <w:rFonts w:eastAsia="Times New Roman"/>
          <w:szCs w:val="22"/>
        </w:rPr>
        <w:t xml:space="preserve"> kan nås på sikt.</w:t>
      </w:r>
    </w:p>
    <w:p w14:paraId="6829D2B1" w14:textId="77777777" w:rsidR="00ED1FB0" w:rsidRPr="00886B27" w:rsidRDefault="00ED1FB0" w:rsidP="00ED1FB0">
      <w:pPr>
        <w:rPr>
          <w:szCs w:val="22"/>
        </w:rPr>
      </w:pPr>
    </w:p>
    <w:p w14:paraId="2784CFC1" w14:textId="77777777" w:rsidR="00ED1FB0" w:rsidRPr="00886B27" w:rsidRDefault="00ED1FB0" w:rsidP="00ED1FB0">
      <w:pPr>
        <w:rPr>
          <w:szCs w:val="22"/>
        </w:rPr>
      </w:pPr>
      <w:r w:rsidRPr="00886B27">
        <w:rPr>
          <w:szCs w:val="22"/>
        </w:rPr>
        <w:t>Inom det stora flertalet av Regionfastigheters mindre projekt genomförs så begränsade förändringar att Miljöbyggnad inte är tillämpbart som miljöcertifieringssystem. Inom dessa projekt avser Regionfastigheter framöver följa upp sex av de 15 miljöbyggnadsindikatorerna från Miljöbyggnad 4.0. Även inom majoriteten av övriga indikatorer följer Regionfastigheter miljöbyggnadskraven, vilka är över lagstadgad nivå. Indikatorerna ”klimatrisker” och ”ekosystemtjänster”, som ingår i området ”utomhusmiljö” och avser ny- och tillbyggnad, är inte tillämpbara vid dessa projekt.</w:t>
      </w:r>
    </w:p>
    <w:p w14:paraId="2D22F7D4" w14:textId="77777777" w:rsidR="00ED1FB0" w:rsidRPr="00886B27" w:rsidRDefault="00ED1FB0" w:rsidP="00ED1FB0">
      <w:pPr>
        <w:rPr>
          <w:szCs w:val="22"/>
        </w:rPr>
      </w:pPr>
    </w:p>
    <w:p w14:paraId="318A5C41" w14:textId="77777777" w:rsidR="00ED1FB0" w:rsidRPr="00554F5E" w:rsidRDefault="00ED1FB0" w:rsidP="00ED1FB0">
      <w:pPr>
        <w:rPr>
          <w:rFonts w:ascii="Public Sans" w:hAnsi="Public Sans"/>
          <w:b/>
          <w:bCs/>
          <w:szCs w:val="22"/>
        </w:rPr>
      </w:pPr>
      <w:r w:rsidRPr="00554F5E">
        <w:rPr>
          <w:rFonts w:ascii="Public Sans" w:hAnsi="Public Sans"/>
          <w:b/>
          <w:bCs/>
          <w:szCs w:val="22"/>
        </w:rPr>
        <w:t>Övertar ansvaret för Region Skånes konstsamling</w:t>
      </w:r>
    </w:p>
    <w:p w14:paraId="7AC25D50" w14:textId="77777777" w:rsidR="004D52B7" w:rsidRDefault="00ED1FB0" w:rsidP="00ED1FB0">
      <w:pPr>
        <w:rPr>
          <w:szCs w:val="22"/>
        </w:rPr>
      </w:pPr>
      <w:r w:rsidRPr="00554F5E">
        <w:rPr>
          <w:szCs w:val="22"/>
        </w:rPr>
        <w:t xml:space="preserve">Efter beslut av regionfullmäktige övertar fastighets- och servicenämnden ansvaret för Region Skånes konstsamling från kulturnämnden. </w:t>
      </w:r>
    </w:p>
    <w:p w14:paraId="2401F418" w14:textId="03FE7C6B" w:rsidR="00ED1FB0" w:rsidRPr="00554F5E" w:rsidRDefault="00ED1FB0" w:rsidP="00ED1FB0">
      <w:pPr>
        <w:rPr>
          <w:szCs w:val="22"/>
        </w:rPr>
      </w:pPr>
      <w:r w:rsidRPr="00554F5E">
        <w:rPr>
          <w:szCs w:val="22"/>
        </w:rPr>
        <w:lastRenderedPageBreak/>
        <w:t>Från årsskiftet ansvarar Regionfastigheter</w:t>
      </w:r>
      <w:r w:rsidR="004D52B7">
        <w:rPr>
          <w:szCs w:val="22"/>
        </w:rPr>
        <w:t>, i nära samarbete med Kulturförvaltningen,</w:t>
      </w:r>
      <w:r w:rsidRPr="00554F5E">
        <w:rPr>
          <w:szCs w:val="22"/>
        </w:rPr>
        <w:t xml:space="preserve"> för att förvärva, förmedla och bevara konsten i Region Skånes konstsamlingar. Fastighets- och servicenämnden kommer att tilldelas regionbidrag för att genomföra detta nya uppdrag. </w:t>
      </w:r>
      <w:r>
        <w:rPr>
          <w:szCs w:val="22"/>
        </w:rPr>
        <w:t>Framöver kommer det vara</w:t>
      </w:r>
      <w:r w:rsidRPr="00554F5E">
        <w:rPr>
          <w:szCs w:val="22"/>
        </w:rPr>
        <w:t xml:space="preserve"> kostnadsfritt för verksamheterna att beställa konst från konstsamlingen. Arbetet med att revidera ramverket för Region Skånes konstsamling och riktlinjer för konstnärlig gestaltning inom Region Skånes verksamhetsområde och fastighetsbestånd färdigställs inom kort.</w:t>
      </w:r>
    </w:p>
    <w:p w14:paraId="79FE0552" w14:textId="77777777" w:rsidR="00ED1FB0" w:rsidRPr="00886B27" w:rsidRDefault="00ED1FB0" w:rsidP="00ED1FB0">
      <w:pPr>
        <w:rPr>
          <w:szCs w:val="22"/>
        </w:rPr>
      </w:pPr>
    </w:p>
    <w:p w14:paraId="211F1B5E" w14:textId="77777777" w:rsidR="00ED1FB0" w:rsidRPr="004822B7" w:rsidRDefault="00ED1FB0" w:rsidP="00ED1FB0">
      <w:pPr>
        <w:rPr>
          <w:rFonts w:ascii="Public Sans" w:hAnsi="Public Sans"/>
          <w:b/>
          <w:bCs/>
          <w:szCs w:val="22"/>
        </w:rPr>
      </w:pPr>
      <w:r w:rsidRPr="004822B7">
        <w:rPr>
          <w:rFonts w:ascii="Public Sans" w:hAnsi="Public Sans"/>
          <w:b/>
          <w:bCs/>
          <w:szCs w:val="22"/>
        </w:rPr>
        <w:t>Styra utvecklingsarbete effektfullt</w:t>
      </w:r>
    </w:p>
    <w:p w14:paraId="4169B34D" w14:textId="77777777" w:rsidR="00ED1FB0" w:rsidRPr="00886B27" w:rsidRDefault="00ED1FB0" w:rsidP="00ED1FB0">
      <w:pPr>
        <w:rPr>
          <w:szCs w:val="22"/>
        </w:rPr>
      </w:pPr>
      <w:r w:rsidRPr="00886B27">
        <w:rPr>
          <w:szCs w:val="22"/>
        </w:rPr>
        <w:t>För att Regionfastigheters utvecklingsarbete ska få effekt och påverka förvaltningens samlade leverans arbetar ledningsgruppen med att utveckla styrningen av förvaltningen. Genom att förbättra ledningsgruppens förmåga att styra verksamheten långsiktigt och utifrån helhetsperspektiv, bäddar Regionfastigheter för att det prioriterade utvecklingsarbetet åstadkommer det effektfulla fastighetsägarskap som Region Skånes fastighetsbestånd kräver.</w:t>
      </w:r>
    </w:p>
    <w:p w14:paraId="0F1055C3" w14:textId="77777777" w:rsidR="00ED1FB0" w:rsidRPr="00886B27" w:rsidRDefault="00ED1FB0" w:rsidP="00ED1FB0">
      <w:pPr>
        <w:rPr>
          <w:szCs w:val="22"/>
        </w:rPr>
      </w:pPr>
    </w:p>
    <w:p w14:paraId="00B6C394" w14:textId="77777777" w:rsidR="00ED1FB0" w:rsidRPr="00886B27" w:rsidRDefault="00ED1FB0" w:rsidP="00ED1FB0">
      <w:pPr>
        <w:rPr>
          <w:szCs w:val="22"/>
        </w:rPr>
      </w:pPr>
      <w:r w:rsidRPr="00886B27">
        <w:rPr>
          <w:szCs w:val="22"/>
        </w:rPr>
        <w:t>Vid sidan av fokus på grunduppdraget har Regionfastigheter antagit regionstyrelsens övergripande mål för planperioden som fokusområden. Regionfastigheter kraftsamlar utvecklingsarbetet inom dessa tre fokusområden – Ökad tillgänglighet, Säkrad kompetensförsörjning och God ekonomisk hushållning. Regionfastigheter fortsätter planera för vad som behöver ske för att fokusområdenas mål ska uppnås. Förvaltningen har under 2024 tillsatt en fokusområdesorganisation med fokusområdesägare och projektledare som leder och samordnar arbetet samt följer upp och analyserar arbete och resultat. Uppföljningen av arbetet och analysen av vad det leder till återrapporteras till fastighets- och servicenämnden i samband med delårs- och helårsuppföljning under planperioden.</w:t>
      </w:r>
    </w:p>
    <w:p w14:paraId="7E79BEE8" w14:textId="77777777" w:rsidR="00ED1FB0" w:rsidRPr="004822B7" w:rsidRDefault="00ED1FB0" w:rsidP="00ED1FB0">
      <w:pPr>
        <w:pStyle w:val="Rubrik2"/>
        <w:rPr>
          <w:rFonts w:ascii="Public Sans" w:eastAsiaTheme="minorHAnsi" w:hAnsi="Public Sans"/>
          <w:szCs w:val="32"/>
        </w:rPr>
      </w:pPr>
      <w:bookmarkStart w:id="4" w:name="_Toc184195016"/>
      <w:r w:rsidRPr="004822B7">
        <w:rPr>
          <w:rFonts w:ascii="Public Sans" w:eastAsiaTheme="minorHAnsi" w:hAnsi="Public Sans"/>
          <w:szCs w:val="32"/>
        </w:rPr>
        <w:lastRenderedPageBreak/>
        <w:t>Ökad tillgänglighet</w:t>
      </w:r>
      <w:bookmarkEnd w:id="4"/>
    </w:p>
    <w:p w14:paraId="1F9DC8B0" w14:textId="77777777" w:rsidR="00ED1FB0" w:rsidRPr="00886B27" w:rsidRDefault="00ED1FB0" w:rsidP="00ED1FB0">
      <w:pPr>
        <w:rPr>
          <w:szCs w:val="22"/>
        </w:rPr>
      </w:pPr>
      <w:r w:rsidRPr="00886B27">
        <w:rPr>
          <w:szCs w:val="22"/>
        </w:rPr>
        <w:t>Genom fokus på ökad tillgänglighet betonar Regionfastigheter att förvaltningen sätter Region Skånes verksamheters behov av välfungerande lokaler främst. Verksamheternas behov av ändamålsenliga och driftsäkra lokaler är ledstjärnan i allt Regionfastigheter gör.</w:t>
      </w:r>
    </w:p>
    <w:p w14:paraId="0328D771" w14:textId="77777777" w:rsidR="00ED1FB0" w:rsidRPr="00886B27" w:rsidRDefault="00ED1FB0" w:rsidP="00ED1FB0">
      <w:pPr>
        <w:rPr>
          <w:szCs w:val="22"/>
        </w:rPr>
      </w:pPr>
    </w:p>
    <w:p w14:paraId="50DDB2D0" w14:textId="77777777" w:rsidR="00ED1FB0" w:rsidRPr="004822B7" w:rsidRDefault="00ED1FB0" w:rsidP="00ED1FB0">
      <w:pPr>
        <w:rPr>
          <w:rFonts w:ascii="Public Sans" w:hAnsi="Public Sans" w:cstheme="majorHAnsi"/>
          <w:b/>
          <w:bCs/>
          <w:szCs w:val="22"/>
        </w:rPr>
      </w:pPr>
      <w:r w:rsidRPr="004822B7">
        <w:rPr>
          <w:rFonts w:ascii="Public Sans" w:hAnsi="Public Sans" w:cstheme="majorHAnsi"/>
          <w:b/>
          <w:bCs/>
          <w:szCs w:val="22"/>
        </w:rPr>
        <w:t>Målsättning</w:t>
      </w:r>
    </w:p>
    <w:p w14:paraId="6421A835" w14:textId="77777777" w:rsidR="00ED1FB0" w:rsidRPr="00886B27" w:rsidRDefault="00ED1FB0" w:rsidP="00ED1FB0">
      <w:pPr>
        <w:rPr>
          <w:szCs w:val="22"/>
        </w:rPr>
      </w:pPr>
      <w:r w:rsidRPr="00886B27">
        <w:rPr>
          <w:szCs w:val="22"/>
        </w:rPr>
        <w:t>Regionfastigheters fokus på ökad tillgänglighet ska leda till att Region Skånes verksamheter har så ändamålsenliga och driftsäkra lokaler som möjligt. Regionfastigheter ska tillgodose verksamheternas lokalbehov utifrån vad det befintliga fastighetsbeståndet möjliggör.</w:t>
      </w:r>
    </w:p>
    <w:p w14:paraId="7A3EF781" w14:textId="77777777" w:rsidR="00ED1FB0" w:rsidRDefault="00ED1FB0" w:rsidP="00ED1FB0">
      <w:pPr>
        <w:rPr>
          <w:szCs w:val="22"/>
        </w:rPr>
      </w:pPr>
      <w:r w:rsidRPr="00886B27">
        <w:rPr>
          <w:b/>
          <w:bCs/>
          <w:szCs w:val="22"/>
        </w:rPr>
        <w:t>Mål:</w:t>
      </w:r>
      <w:r w:rsidRPr="00886B27">
        <w:rPr>
          <w:szCs w:val="22"/>
        </w:rPr>
        <w:t xml:space="preserve"> Regionfastigheter ska upprätthålla värde och ändamålsenlighet i Region Skånes fastighetsbestånd.</w:t>
      </w:r>
    </w:p>
    <w:p w14:paraId="5CAA1289" w14:textId="77777777" w:rsidR="00ED1FB0" w:rsidRPr="00886B27" w:rsidRDefault="00ED1FB0" w:rsidP="00ED1FB0">
      <w:pPr>
        <w:rPr>
          <w:szCs w:val="22"/>
        </w:rPr>
      </w:pPr>
    </w:p>
    <w:p w14:paraId="03960995" w14:textId="77777777" w:rsidR="00ED1FB0" w:rsidRPr="004822B7" w:rsidRDefault="00ED1FB0" w:rsidP="00ED1FB0">
      <w:pPr>
        <w:rPr>
          <w:rFonts w:ascii="Public Sans" w:hAnsi="Public Sans" w:cstheme="majorHAnsi"/>
          <w:b/>
          <w:bCs/>
          <w:szCs w:val="22"/>
        </w:rPr>
      </w:pPr>
      <w:r w:rsidRPr="004822B7">
        <w:rPr>
          <w:rFonts w:ascii="Public Sans" w:hAnsi="Public Sans" w:cstheme="majorHAnsi"/>
          <w:b/>
          <w:bCs/>
          <w:szCs w:val="22"/>
        </w:rPr>
        <w:t>Uppföljning</w:t>
      </w:r>
    </w:p>
    <w:p w14:paraId="2DFA5D9D" w14:textId="77777777" w:rsidR="00ED1FB0" w:rsidRDefault="00ED1FB0" w:rsidP="00ED1FB0">
      <w:pPr>
        <w:rPr>
          <w:szCs w:val="22"/>
        </w:rPr>
      </w:pPr>
      <w:r w:rsidRPr="004822B7">
        <w:rPr>
          <w:szCs w:val="22"/>
        </w:rPr>
        <w:t>Regionfastigheter ska följa upp fokusområdets resultat genom:</w:t>
      </w:r>
    </w:p>
    <w:p w14:paraId="78E62A9F" w14:textId="77777777" w:rsidR="00ED1FB0" w:rsidRDefault="00ED1FB0" w:rsidP="00ED1FB0">
      <w:pPr>
        <w:pStyle w:val="Liststycke"/>
        <w:numPr>
          <w:ilvl w:val="0"/>
          <w:numId w:val="36"/>
        </w:numPr>
        <w:rPr>
          <w:szCs w:val="22"/>
        </w:rPr>
      </w:pPr>
      <w:r w:rsidRPr="532B3774">
        <w:rPr>
          <w:szCs w:val="22"/>
        </w:rPr>
        <w:t>Region Skånes verksamheters skattning av ändamålsenligheten i sina lokaler, Nöjd Kund-index</w:t>
      </w:r>
    </w:p>
    <w:p w14:paraId="30FE06C1" w14:textId="77777777" w:rsidR="00ED1FB0" w:rsidRPr="00DD7EBE" w:rsidRDefault="00ED1FB0" w:rsidP="00ED1FB0">
      <w:pPr>
        <w:pStyle w:val="Liststycke"/>
        <w:rPr>
          <w:szCs w:val="22"/>
        </w:rPr>
      </w:pPr>
      <w:proofErr w:type="spellStart"/>
      <w:r w:rsidRPr="532B3774">
        <w:rPr>
          <w:szCs w:val="22"/>
        </w:rPr>
        <w:t>Målnivå</w:t>
      </w:r>
      <w:proofErr w:type="spellEnd"/>
      <w:r w:rsidRPr="532B3774">
        <w:rPr>
          <w:szCs w:val="22"/>
        </w:rPr>
        <w:t xml:space="preserve"> 2026: NKI 56</w:t>
      </w:r>
    </w:p>
    <w:p w14:paraId="1C55F0A8" w14:textId="77777777" w:rsidR="00ED1FB0" w:rsidRPr="00886B27" w:rsidRDefault="00ED1FB0" w:rsidP="00ED1FB0">
      <w:pPr>
        <w:pStyle w:val="Liststycke"/>
        <w:numPr>
          <w:ilvl w:val="0"/>
          <w:numId w:val="17"/>
        </w:numPr>
        <w:rPr>
          <w:szCs w:val="22"/>
        </w:rPr>
      </w:pPr>
      <w:r w:rsidRPr="00886B27">
        <w:rPr>
          <w:szCs w:val="22"/>
        </w:rPr>
        <w:t>Uppdaterade underhållsplaner på alla sjukhusområden och upparbetad budget för planerat underhåll per år</w:t>
      </w:r>
    </w:p>
    <w:p w14:paraId="27FE2F01" w14:textId="77777777" w:rsidR="00ED1FB0" w:rsidRPr="00886B27" w:rsidRDefault="00ED1FB0" w:rsidP="00ED1FB0">
      <w:pPr>
        <w:pStyle w:val="Liststycke"/>
        <w:numPr>
          <w:ilvl w:val="0"/>
          <w:numId w:val="17"/>
        </w:numPr>
        <w:rPr>
          <w:szCs w:val="22"/>
        </w:rPr>
      </w:pPr>
      <w:r w:rsidRPr="00886B27">
        <w:rPr>
          <w:szCs w:val="22"/>
        </w:rPr>
        <w:t>Kvalitativ analys av resultatet av utförda insatser</w:t>
      </w:r>
    </w:p>
    <w:p w14:paraId="5D5E0843" w14:textId="77777777" w:rsidR="00ED1FB0" w:rsidRPr="00886B27" w:rsidRDefault="00ED1FB0" w:rsidP="00ED1FB0">
      <w:pPr>
        <w:rPr>
          <w:szCs w:val="22"/>
        </w:rPr>
      </w:pPr>
    </w:p>
    <w:p w14:paraId="7B6FD671" w14:textId="77777777" w:rsidR="00ED1FB0" w:rsidRPr="004822B7" w:rsidRDefault="00ED1FB0" w:rsidP="00ED1FB0">
      <w:pPr>
        <w:rPr>
          <w:rFonts w:ascii="Public Sans" w:hAnsi="Public Sans" w:cstheme="majorHAnsi"/>
          <w:b/>
          <w:bCs/>
          <w:szCs w:val="22"/>
        </w:rPr>
      </w:pPr>
      <w:r w:rsidRPr="004822B7">
        <w:rPr>
          <w:rFonts w:ascii="Public Sans" w:hAnsi="Public Sans" w:cstheme="majorHAnsi"/>
          <w:b/>
          <w:bCs/>
          <w:szCs w:val="22"/>
        </w:rPr>
        <w:t>Genomförande</w:t>
      </w:r>
    </w:p>
    <w:p w14:paraId="0C82A0AB" w14:textId="77777777" w:rsidR="00ED1FB0" w:rsidRPr="00886B27" w:rsidRDefault="00ED1FB0" w:rsidP="00ED1FB0">
      <w:pPr>
        <w:rPr>
          <w:szCs w:val="22"/>
        </w:rPr>
      </w:pPr>
      <w:r w:rsidRPr="00886B27">
        <w:rPr>
          <w:szCs w:val="22"/>
        </w:rPr>
        <w:t>Prioriterade insatser för fokusområdet:</w:t>
      </w:r>
    </w:p>
    <w:p w14:paraId="0A5A7E17" w14:textId="77777777" w:rsidR="00ED1FB0" w:rsidRPr="00886B27" w:rsidRDefault="00ED1FB0" w:rsidP="00ED1FB0">
      <w:pPr>
        <w:pStyle w:val="Liststycke"/>
        <w:numPr>
          <w:ilvl w:val="0"/>
          <w:numId w:val="34"/>
        </w:numPr>
        <w:rPr>
          <w:b/>
          <w:bCs/>
          <w:szCs w:val="22"/>
        </w:rPr>
      </w:pPr>
      <w:r w:rsidRPr="00886B27">
        <w:rPr>
          <w:b/>
          <w:bCs/>
          <w:szCs w:val="22"/>
        </w:rPr>
        <w:t>Proaktiv fastighetsförvaltning, drift och underhåll</w:t>
      </w:r>
    </w:p>
    <w:p w14:paraId="4CA3F426" w14:textId="77777777" w:rsidR="00ED1FB0" w:rsidRPr="00886B27" w:rsidRDefault="00ED1FB0" w:rsidP="00ED1FB0">
      <w:pPr>
        <w:rPr>
          <w:szCs w:val="22"/>
        </w:rPr>
      </w:pPr>
      <w:r w:rsidRPr="00886B27">
        <w:rPr>
          <w:szCs w:val="22"/>
        </w:rPr>
        <w:t>Förvaltning, drift och underhåll av befintliga lokaler, fastigheter och sjukhusområden utgör stommen i Regionfastigheters uppdrag. Utvecklingen av dessa kärnuppdrag är därför ständigt prioriterade.</w:t>
      </w:r>
    </w:p>
    <w:p w14:paraId="48DA2DB2" w14:textId="77777777" w:rsidR="00ED1FB0" w:rsidRPr="00886B27" w:rsidRDefault="00ED1FB0" w:rsidP="00ED1FB0">
      <w:pPr>
        <w:rPr>
          <w:szCs w:val="22"/>
        </w:rPr>
      </w:pPr>
    </w:p>
    <w:p w14:paraId="7517E1F9" w14:textId="77777777" w:rsidR="00ED1FB0" w:rsidRPr="00886B27" w:rsidRDefault="00ED1FB0" w:rsidP="00ED1FB0">
      <w:pPr>
        <w:rPr>
          <w:szCs w:val="22"/>
        </w:rPr>
      </w:pPr>
      <w:r w:rsidRPr="00886B27">
        <w:rPr>
          <w:szCs w:val="22"/>
        </w:rPr>
        <w:t xml:space="preserve">I Regionfastigheter pågår arbetet med att arbeta än mer proaktivt med förvaltning, drift och underhåll av fastighetsbeståndet. Arbetet fortgår med avsikten att förvaltningen ska säkerställa att </w:t>
      </w:r>
      <w:r w:rsidRPr="00886B27">
        <w:rPr>
          <w:szCs w:val="22"/>
        </w:rPr>
        <w:lastRenderedPageBreak/>
        <w:t>underhållsplaner på alla sjukhusområden följs och kontinuerligt uppdateras.</w:t>
      </w:r>
    </w:p>
    <w:p w14:paraId="30450545" w14:textId="77777777" w:rsidR="00ED1FB0" w:rsidRPr="00886B27" w:rsidRDefault="00ED1FB0" w:rsidP="00ED1FB0">
      <w:pPr>
        <w:rPr>
          <w:szCs w:val="22"/>
        </w:rPr>
      </w:pPr>
    </w:p>
    <w:p w14:paraId="62E7ECA0" w14:textId="77777777" w:rsidR="00ED1FB0" w:rsidRPr="00886B27" w:rsidRDefault="00ED1FB0" w:rsidP="00ED1FB0">
      <w:pPr>
        <w:rPr>
          <w:szCs w:val="22"/>
        </w:rPr>
      </w:pPr>
      <w:r w:rsidRPr="00886B27">
        <w:rPr>
          <w:szCs w:val="22"/>
        </w:rPr>
        <w:t>Regionfastigheter avser att stödja kunderna att identifiera sina förändrade lokalbehov i ett tidigare skede än vad som sker idag. Detta möjliggör samordning av fastighetsägarinvesteringar och planerat underhåll när kundens lokala pott-projekt beställs. Proaktivitet och långsiktighet är en utmaning för flera vårdverksamheter och Regionfastigheter ser möjligheter att stödja verksamheterna i det genom tidig dialog kring planering av lokala pott-projekt samt genom att införa ett nytt arbetssätt för denna typ av projekt.</w:t>
      </w:r>
    </w:p>
    <w:p w14:paraId="766D97AE" w14:textId="77777777" w:rsidR="00ED1FB0" w:rsidRPr="00886B27" w:rsidRDefault="00ED1FB0" w:rsidP="00ED1FB0">
      <w:pPr>
        <w:rPr>
          <w:szCs w:val="22"/>
        </w:rPr>
      </w:pPr>
    </w:p>
    <w:p w14:paraId="6560DB14" w14:textId="77777777" w:rsidR="00ED1FB0" w:rsidRPr="00886B27" w:rsidRDefault="00ED1FB0" w:rsidP="00ED1FB0">
      <w:pPr>
        <w:rPr>
          <w:szCs w:val="22"/>
        </w:rPr>
      </w:pPr>
      <w:r w:rsidRPr="00886B27">
        <w:rPr>
          <w:szCs w:val="22"/>
        </w:rPr>
        <w:t xml:space="preserve">Även processen för hur </w:t>
      </w:r>
      <w:bookmarkStart w:id="5" w:name="_Hlk179727502"/>
      <w:r w:rsidRPr="00886B27">
        <w:rPr>
          <w:szCs w:val="22"/>
        </w:rPr>
        <w:t>förvaltningen sluter serviceavtal med entreprenörer inom projekt ska utvecklas</w:t>
      </w:r>
      <w:bookmarkEnd w:id="5"/>
      <w:r w:rsidRPr="00886B27">
        <w:rPr>
          <w:szCs w:val="22"/>
        </w:rPr>
        <w:t>. Serviceavtalens utformning påverkas bland annat av nya installationers komplexitet och fastighetsdriftens kompetens inom aktuell installation. Regionfastigheter avser förbättra den interna samordningen för att kunna sluta och följa upp de serviceavtal som verksamheten behöver.</w:t>
      </w:r>
    </w:p>
    <w:p w14:paraId="4FC18B9F" w14:textId="77777777" w:rsidR="00ED1FB0" w:rsidRPr="00886B27" w:rsidRDefault="00ED1FB0" w:rsidP="00ED1FB0">
      <w:pPr>
        <w:rPr>
          <w:szCs w:val="22"/>
        </w:rPr>
      </w:pPr>
    </w:p>
    <w:p w14:paraId="4F16282E" w14:textId="77777777" w:rsidR="00ED1FB0" w:rsidRPr="00886B27" w:rsidRDefault="00ED1FB0" w:rsidP="00ED1FB0">
      <w:pPr>
        <w:rPr>
          <w:szCs w:val="22"/>
        </w:rPr>
      </w:pPr>
      <w:r w:rsidRPr="00886B27">
        <w:rPr>
          <w:szCs w:val="22"/>
        </w:rPr>
        <w:t>Ett samarbete mellan Regionservice och Regionfastigheter är initierat för att identifiera om det finns gap mellan rutiner och ansvar mellan de två förvaltningarna för att uppnå hållbara lokaler med hög tillgänglighet för vården.</w:t>
      </w:r>
    </w:p>
    <w:p w14:paraId="20104940" w14:textId="77777777" w:rsidR="00ED1FB0" w:rsidRPr="00886B27" w:rsidRDefault="00ED1FB0" w:rsidP="00ED1FB0">
      <w:pPr>
        <w:rPr>
          <w:szCs w:val="22"/>
        </w:rPr>
      </w:pPr>
    </w:p>
    <w:p w14:paraId="2BD6DC3E" w14:textId="77777777" w:rsidR="00ED1FB0" w:rsidRPr="00886B27" w:rsidRDefault="00ED1FB0" w:rsidP="00ED1FB0">
      <w:pPr>
        <w:pStyle w:val="Liststycke"/>
        <w:numPr>
          <w:ilvl w:val="0"/>
          <w:numId w:val="24"/>
        </w:numPr>
        <w:rPr>
          <w:b/>
          <w:bCs/>
          <w:szCs w:val="22"/>
        </w:rPr>
      </w:pPr>
      <w:r w:rsidRPr="00886B27">
        <w:rPr>
          <w:b/>
          <w:bCs/>
          <w:szCs w:val="22"/>
        </w:rPr>
        <w:t>Samordna kunddriven utveckling</w:t>
      </w:r>
    </w:p>
    <w:p w14:paraId="6CCBEEA4" w14:textId="77777777" w:rsidR="00ED1FB0" w:rsidRPr="00886B27" w:rsidRDefault="00ED1FB0" w:rsidP="00ED1FB0">
      <w:pPr>
        <w:rPr>
          <w:szCs w:val="22"/>
        </w:rPr>
      </w:pPr>
      <w:r w:rsidRPr="00886B27">
        <w:rPr>
          <w:szCs w:val="22"/>
        </w:rPr>
        <w:t xml:space="preserve">Regionfastigheter följer kontinuerligt upp kundernas, det vill säga Region Skånes verksamheters, synpunkter på sina lokaler och upplevelse av de tjänster som Regionfastigheter erbjuder. Kundernas återkoppling inom Nöjd Kund Index, NKI, är en viktig utgångspunkt när Regionfastigheter prioriterar förbättringsarbete. </w:t>
      </w:r>
    </w:p>
    <w:p w14:paraId="668F0BA7" w14:textId="77777777" w:rsidR="00ED1FB0" w:rsidRPr="00886B27" w:rsidRDefault="00ED1FB0" w:rsidP="00ED1FB0">
      <w:pPr>
        <w:rPr>
          <w:szCs w:val="22"/>
        </w:rPr>
      </w:pPr>
    </w:p>
    <w:p w14:paraId="18BEEC19" w14:textId="77777777" w:rsidR="00ED1FB0" w:rsidRPr="00886B27" w:rsidRDefault="00ED1FB0" w:rsidP="00ED1FB0">
      <w:pPr>
        <w:rPr>
          <w:szCs w:val="22"/>
        </w:rPr>
      </w:pPr>
      <w:r w:rsidRPr="00886B27">
        <w:rPr>
          <w:szCs w:val="22"/>
        </w:rPr>
        <w:t xml:space="preserve">Utvecklingsarbetet utifrån kundernas återkoppling kommer framöver att samordnas tydligare inom förvaltningen. Regionfastigheter avser att bidra till ökad tillgänglighet för vården </w:t>
      </w:r>
      <w:r w:rsidRPr="00886B27">
        <w:rPr>
          <w:szCs w:val="22"/>
        </w:rPr>
        <w:lastRenderedPageBreak/>
        <w:t>genom att inom största möjliga mån jobba mot att lämna över så kallade nyckelfärdiga lokaler till verksamheten. Till exempel vid överlämning av inhyrda lokaler ansvarar och samordnar verksamheten idag själv för iordningställande av IT och inredning. Avsikten är att avlasta verksamheten genom att lämna över en inflyttningsklar lokal.</w:t>
      </w:r>
    </w:p>
    <w:p w14:paraId="6F743A2B" w14:textId="77777777" w:rsidR="00ED1FB0" w:rsidRPr="00886B27" w:rsidRDefault="00ED1FB0" w:rsidP="00ED1FB0">
      <w:pPr>
        <w:rPr>
          <w:szCs w:val="22"/>
        </w:rPr>
      </w:pPr>
    </w:p>
    <w:p w14:paraId="58E88193" w14:textId="77777777" w:rsidR="00ED1FB0" w:rsidRPr="00886B27" w:rsidRDefault="00ED1FB0" w:rsidP="00ED1FB0">
      <w:pPr>
        <w:pStyle w:val="Liststycke"/>
        <w:numPr>
          <w:ilvl w:val="0"/>
          <w:numId w:val="24"/>
        </w:numPr>
        <w:rPr>
          <w:b/>
          <w:bCs/>
          <w:szCs w:val="22"/>
        </w:rPr>
      </w:pPr>
      <w:r w:rsidRPr="00886B27">
        <w:rPr>
          <w:b/>
          <w:bCs/>
          <w:szCs w:val="22"/>
        </w:rPr>
        <w:t xml:space="preserve">Effektivisera </w:t>
      </w:r>
      <w:proofErr w:type="spellStart"/>
      <w:r w:rsidRPr="00886B27">
        <w:rPr>
          <w:b/>
          <w:bCs/>
          <w:szCs w:val="22"/>
        </w:rPr>
        <w:t>beställningsskedet</w:t>
      </w:r>
      <w:proofErr w:type="spellEnd"/>
      <w:r w:rsidRPr="00886B27">
        <w:rPr>
          <w:b/>
          <w:bCs/>
          <w:szCs w:val="22"/>
        </w:rPr>
        <w:t xml:space="preserve"> och projektgenomförandet</w:t>
      </w:r>
    </w:p>
    <w:p w14:paraId="6ABFCB47" w14:textId="77777777" w:rsidR="00ED1FB0" w:rsidRPr="00886B27" w:rsidRDefault="00ED1FB0" w:rsidP="00ED1FB0">
      <w:pPr>
        <w:rPr>
          <w:szCs w:val="22"/>
        </w:rPr>
      </w:pPr>
      <w:r w:rsidRPr="00886B27">
        <w:rPr>
          <w:szCs w:val="22"/>
        </w:rPr>
        <w:t xml:space="preserve">Att optimera flödet i byggprocessen är ett prioriterat uppdrag för Regionfastigheter. Förvaltningen kommer förbättra arbetet inom byggprocessen genom att till exempel utveckla </w:t>
      </w:r>
      <w:proofErr w:type="spellStart"/>
      <w:r w:rsidRPr="00886B27">
        <w:rPr>
          <w:szCs w:val="22"/>
        </w:rPr>
        <w:t>beställningsskedet</w:t>
      </w:r>
      <w:proofErr w:type="spellEnd"/>
      <w:r w:rsidRPr="00886B27">
        <w:rPr>
          <w:szCs w:val="22"/>
        </w:rPr>
        <w:t>. I samarbete med kunderna avser förvaltningen utveckla arbetet med att analysera kundens beställning och nyttjande av befintlig lokal samt den tilltänkta lokallösning när denne har behov av lokalförändringar. Avsikten är att möjliggöra en tydligare beställning av vad byggprojektet ska åstadkomma. Det ska skapa förutsättningar för bättre kalkyler, mer korrekt tidsplanering och effektivare resurshantering.</w:t>
      </w:r>
    </w:p>
    <w:p w14:paraId="5AE64BB1" w14:textId="77777777" w:rsidR="00ED1FB0" w:rsidRPr="00886B27" w:rsidRDefault="00ED1FB0" w:rsidP="00ED1FB0">
      <w:pPr>
        <w:rPr>
          <w:szCs w:val="22"/>
        </w:rPr>
      </w:pPr>
    </w:p>
    <w:p w14:paraId="4FF2AA87" w14:textId="77777777" w:rsidR="00ED1FB0" w:rsidRPr="00886B27" w:rsidRDefault="00ED1FB0" w:rsidP="00ED1FB0">
      <w:pPr>
        <w:rPr>
          <w:szCs w:val="22"/>
        </w:rPr>
      </w:pPr>
      <w:r w:rsidRPr="00886B27">
        <w:rPr>
          <w:szCs w:val="22"/>
        </w:rPr>
        <w:t>När förvaltningens nya projekthanteringsverktyg inom kort är implementerat i all byggprojekthantering möjliggör det förbättringar i uppföljningen vid slutfört projekt. Regionfastigheter avser utveckla arbetet med att följa upp projektens kalkyl mot slutresultatet i fråga om tid, omfattning och ekonomi. Fram tills nu har detta arbete genomförts manuellt. Det nya projekthanteringsverktyget möjliggör en automatiserad uppföljning. Den kommer ligga till grund för förvaltningens analys av projektetens kalkyler i relation till utfall. Utifrån kommande analyser avser Regionfastigheter också utveckla återkopplingen till kunderna.</w:t>
      </w:r>
    </w:p>
    <w:p w14:paraId="2B84E618" w14:textId="77777777" w:rsidR="00ED1FB0" w:rsidRPr="00886B27" w:rsidRDefault="00ED1FB0" w:rsidP="00ED1FB0">
      <w:pPr>
        <w:rPr>
          <w:szCs w:val="22"/>
        </w:rPr>
      </w:pPr>
    </w:p>
    <w:p w14:paraId="247BF386" w14:textId="77777777" w:rsidR="00ED1FB0" w:rsidRPr="00886B27" w:rsidRDefault="00ED1FB0" w:rsidP="00ED1FB0">
      <w:pPr>
        <w:pStyle w:val="Liststycke"/>
        <w:numPr>
          <w:ilvl w:val="0"/>
          <w:numId w:val="24"/>
        </w:numPr>
        <w:rPr>
          <w:b/>
          <w:bCs/>
          <w:szCs w:val="22"/>
        </w:rPr>
      </w:pPr>
      <w:r w:rsidRPr="00886B27">
        <w:rPr>
          <w:b/>
          <w:bCs/>
          <w:szCs w:val="22"/>
        </w:rPr>
        <w:t>Utveckla arbetet med civilt försvar</w:t>
      </w:r>
    </w:p>
    <w:p w14:paraId="423A1620" w14:textId="77777777" w:rsidR="00ED1FB0" w:rsidRPr="00886B27" w:rsidRDefault="00ED1FB0" w:rsidP="00ED1FB0">
      <w:pPr>
        <w:rPr>
          <w:szCs w:val="22"/>
        </w:rPr>
      </w:pPr>
      <w:r w:rsidRPr="00886B27">
        <w:rPr>
          <w:szCs w:val="22"/>
        </w:rPr>
        <w:t xml:space="preserve">Sveriges Kommuner och Regioner, SKR, och staten har skrivit en överenskommelse om regionernas arbete med krisberedskap och </w:t>
      </w:r>
      <w:r w:rsidRPr="00886B27">
        <w:rPr>
          <w:szCs w:val="22"/>
        </w:rPr>
        <w:lastRenderedPageBreak/>
        <w:t xml:space="preserve">civilt försvar. I Region Skåne pågår nu organisering för att hantera överenskommelsen. Regionfastigheter kommer, i samarbete med övriga förvaltningar, att tillsätta en ny krisberedskapsorganisation och förstärka arbetet med civilt försvar. Som en del av arbetet behöver Regionfastigheter klassificera samtliga fastigheter utifrån Myndigheten för samhällsskydd och beredskap, MSB:s vägledning </w:t>
      </w:r>
      <w:r w:rsidRPr="00886B27">
        <w:rPr>
          <w:i/>
          <w:iCs/>
          <w:szCs w:val="22"/>
        </w:rPr>
        <w:t>Den robusta sjukhusbyggnaden.</w:t>
      </w:r>
      <w:r w:rsidRPr="00886B27">
        <w:rPr>
          <w:szCs w:val="22"/>
        </w:rPr>
        <w:t xml:space="preserve"> Det är ett mycket omfattande arbete som kommer att spänna över flera år.</w:t>
      </w:r>
    </w:p>
    <w:p w14:paraId="496F972D" w14:textId="77777777" w:rsidR="00ED1FB0" w:rsidRPr="00962FF9" w:rsidRDefault="00ED1FB0" w:rsidP="00ED1FB0">
      <w:pPr>
        <w:pStyle w:val="Rubrik2"/>
        <w:rPr>
          <w:rFonts w:ascii="Public Sans" w:eastAsiaTheme="minorHAnsi" w:hAnsi="Public Sans"/>
          <w:szCs w:val="32"/>
        </w:rPr>
      </w:pPr>
      <w:bookmarkStart w:id="6" w:name="_Toc184195017"/>
      <w:r w:rsidRPr="00962FF9">
        <w:rPr>
          <w:rFonts w:ascii="Public Sans" w:eastAsiaTheme="minorHAnsi" w:hAnsi="Public Sans"/>
          <w:szCs w:val="32"/>
        </w:rPr>
        <w:t>Säkrad kompetensförsörjning</w:t>
      </w:r>
      <w:bookmarkEnd w:id="6"/>
    </w:p>
    <w:p w14:paraId="5907731C" w14:textId="77777777" w:rsidR="00ED1FB0" w:rsidRPr="00886B27" w:rsidRDefault="00ED1FB0" w:rsidP="00ED1FB0">
      <w:pPr>
        <w:rPr>
          <w:szCs w:val="22"/>
        </w:rPr>
      </w:pPr>
      <w:r w:rsidRPr="00886B27">
        <w:rPr>
          <w:szCs w:val="22"/>
        </w:rPr>
        <w:t>För att klara Regionfastigheters uppdrag med att tillhandahålla ändamålsenliga lokaler till Region Skånes verksamheter är medarbetarna förvaltningens viktigaste resurs. Regionfastigheter behöver även fortsättningsvis kompetenta och professionella medarbetare och har fokus på att behålla och utveckla befintliga medarbetare samt attrahera nya kollegor.</w:t>
      </w:r>
    </w:p>
    <w:p w14:paraId="0DD7EA3E" w14:textId="77777777" w:rsidR="00ED1FB0" w:rsidRPr="00886B27" w:rsidRDefault="00ED1FB0" w:rsidP="00ED1FB0">
      <w:pPr>
        <w:rPr>
          <w:szCs w:val="22"/>
        </w:rPr>
      </w:pPr>
    </w:p>
    <w:p w14:paraId="2F4203AC" w14:textId="77777777" w:rsidR="00ED1FB0" w:rsidRPr="00962FF9" w:rsidRDefault="00ED1FB0" w:rsidP="00ED1FB0">
      <w:pPr>
        <w:rPr>
          <w:rFonts w:ascii="Public Sans" w:hAnsi="Public Sans" w:cstheme="majorHAnsi"/>
          <w:b/>
          <w:bCs/>
          <w:szCs w:val="22"/>
        </w:rPr>
      </w:pPr>
      <w:r w:rsidRPr="00962FF9">
        <w:rPr>
          <w:rFonts w:ascii="Public Sans" w:hAnsi="Public Sans" w:cstheme="majorHAnsi"/>
          <w:b/>
          <w:bCs/>
          <w:szCs w:val="22"/>
        </w:rPr>
        <w:t>Målsättning</w:t>
      </w:r>
    </w:p>
    <w:p w14:paraId="1293AB57" w14:textId="77777777" w:rsidR="00ED1FB0" w:rsidRPr="00886B27" w:rsidRDefault="00ED1FB0" w:rsidP="00ED1FB0">
      <w:pPr>
        <w:rPr>
          <w:szCs w:val="22"/>
        </w:rPr>
      </w:pPr>
      <w:r w:rsidRPr="00886B27">
        <w:rPr>
          <w:szCs w:val="22"/>
        </w:rPr>
        <w:t>Regionfastigheters fokus på säkrad kompetensförsörjning ska leda till att medarbetarna har goda förutsättningar att genomföra sitt uppdrag och därmed bidra till att Regionfastigheter lever upp till sitt uppdrag. Befintliga medarbetares trivsel, engagemang och möjligheter att utvecklas bidrar till goda resultat samt att nya medarbetare attraheras.</w:t>
      </w:r>
    </w:p>
    <w:p w14:paraId="4620D184" w14:textId="77777777" w:rsidR="00ED1FB0" w:rsidRPr="00886B27" w:rsidRDefault="00ED1FB0" w:rsidP="00ED1FB0">
      <w:pPr>
        <w:rPr>
          <w:szCs w:val="22"/>
        </w:rPr>
      </w:pPr>
      <w:r w:rsidRPr="00886B27">
        <w:rPr>
          <w:b/>
          <w:bCs/>
          <w:szCs w:val="22"/>
        </w:rPr>
        <w:t>Mål:</w:t>
      </w:r>
      <w:r w:rsidRPr="00886B27">
        <w:rPr>
          <w:szCs w:val="22"/>
        </w:rPr>
        <w:t xml:space="preserve"> Andelen medarbetare som upplever sig ha goda förutsättningar att genomföra sitt uppdrag ska öka varje år fram till 2026.</w:t>
      </w:r>
    </w:p>
    <w:p w14:paraId="74129588" w14:textId="77777777" w:rsidR="00ED1FB0" w:rsidRPr="00886B27" w:rsidRDefault="00ED1FB0" w:rsidP="00ED1FB0">
      <w:pPr>
        <w:rPr>
          <w:szCs w:val="22"/>
        </w:rPr>
      </w:pPr>
    </w:p>
    <w:p w14:paraId="07FF87C8" w14:textId="77777777" w:rsidR="00ED1FB0" w:rsidRPr="00962FF9" w:rsidRDefault="00ED1FB0" w:rsidP="00ED1FB0">
      <w:pPr>
        <w:rPr>
          <w:rFonts w:ascii="Public Sans" w:hAnsi="Public Sans" w:cstheme="majorHAnsi"/>
          <w:b/>
          <w:bCs/>
          <w:szCs w:val="22"/>
        </w:rPr>
      </w:pPr>
      <w:r w:rsidRPr="00962FF9">
        <w:rPr>
          <w:rFonts w:ascii="Public Sans" w:hAnsi="Public Sans" w:cstheme="majorHAnsi"/>
          <w:b/>
          <w:bCs/>
          <w:szCs w:val="22"/>
        </w:rPr>
        <w:t>Uppföljning</w:t>
      </w:r>
    </w:p>
    <w:p w14:paraId="7108C36B" w14:textId="77777777" w:rsidR="00ED1FB0" w:rsidRPr="00886B27" w:rsidRDefault="00ED1FB0" w:rsidP="00ED1FB0">
      <w:pPr>
        <w:rPr>
          <w:szCs w:val="22"/>
        </w:rPr>
      </w:pPr>
      <w:r w:rsidRPr="00886B27">
        <w:rPr>
          <w:szCs w:val="22"/>
        </w:rPr>
        <w:t>Regionfastigheter ska följa upp fokusområdets resultat genom:</w:t>
      </w:r>
    </w:p>
    <w:p w14:paraId="783DCFD0" w14:textId="77777777" w:rsidR="00ED1FB0" w:rsidRPr="00886B27" w:rsidRDefault="00ED1FB0" w:rsidP="00ED1FB0">
      <w:pPr>
        <w:pStyle w:val="Liststycke"/>
        <w:numPr>
          <w:ilvl w:val="0"/>
          <w:numId w:val="18"/>
        </w:numPr>
        <w:rPr>
          <w:szCs w:val="22"/>
        </w:rPr>
      </w:pPr>
      <w:r w:rsidRPr="00886B27">
        <w:rPr>
          <w:szCs w:val="22"/>
        </w:rPr>
        <w:t>Region Skånes medarbetarenkät – hållbart medarbetarengagemang, HME, och övriga områden.</w:t>
      </w:r>
    </w:p>
    <w:p w14:paraId="765A46C9" w14:textId="77777777" w:rsidR="00ED1FB0" w:rsidRPr="00886B27" w:rsidRDefault="00ED1FB0" w:rsidP="00ED1FB0">
      <w:pPr>
        <w:rPr>
          <w:szCs w:val="22"/>
        </w:rPr>
      </w:pPr>
    </w:p>
    <w:p w14:paraId="005A8057" w14:textId="77777777" w:rsidR="00ED1FB0" w:rsidRPr="00962FF9" w:rsidRDefault="00ED1FB0" w:rsidP="00ED1FB0">
      <w:pPr>
        <w:rPr>
          <w:rFonts w:ascii="Public Sans" w:hAnsi="Public Sans" w:cstheme="majorHAnsi"/>
          <w:b/>
          <w:bCs/>
          <w:szCs w:val="22"/>
        </w:rPr>
      </w:pPr>
      <w:r w:rsidRPr="00962FF9">
        <w:rPr>
          <w:rFonts w:ascii="Public Sans" w:hAnsi="Public Sans" w:cstheme="majorHAnsi"/>
          <w:b/>
          <w:bCs/>
          <w:szCs w:val="22"/>
        </w:rPr>
        <w:t>Genomförande</w:t>
      </w:r>
    </w:p>
    <w:p w14:paraId="2AFA2BB3" w14:textId="77777777" w:rsidR="00ED1FB0" w:rsidRPr="00886B27" w:rsidRDefault="00ED1FB0" w:rsidP="00ED1FB0">
      <w:pPr>
        <w:rPr>
          <w:rFonts w:eastAsia="Times New Roman" w:cs="Times New Roman"/>
          <w:color w:val="000000" w:themeColor="text1"/>
          <w:szCs w:val="22"/>
        </w:rPr>
      </w:pPr>
      <w:r w:rsidRPr="00886B27">
        <w:rPr>
          <w:rFonts w:eastAsia="Times New Roman" w:cs="Times New Roman"/>
          <w:color w:val="000000" w:themeColor="text1"/>
          <w:szCs w:val="22"/>
        </w:rPr>
        <w:lastRenderedPageBreak/>
        <w:t>Arbetet inom fokusområdet har tydlig koppling till förvaltningens och Region Skånes ordinarie arbete med kompetensförsörjning som utgår från de strategier för regionalt kompetensförsörjningsarbete som Sveriges Kommuner och Regioner, SKR, har tagit fram. Strategierna är Stöd medarbetarutveckling, Attraktiv arbetsplats samt Använd kompetensen rätt. Alla förvaltningar tar fram en tvåårig kompetensförsörjningsplan för 2025–2026 som samordnas med förvaltningens verksamhetsplan och budget.</w:t>
      </w:r>
    </w:p>
    <w:p w14:paraId="5A6B3E4E" w14:textId="77777777" w:rsidR="00ED1FB0" w:rsidRPr="00886B27" w:rsidRDefault="00ED1FB0" w:rsidP="00ED1FB0">
      <w:pPr>
        <w:rPr>
          <w:szCs w:val="22"/>
        </w:rPr>
      </w:pPr>
    </w:p>
    <w:p w14:paraId="5F421B1D" w14:textId="77777777" w:rsidR="00ED1FB0" w:rsidRPr="00886B27" w:rsidRDefault="00ED1FB0" w:rsidP="00ED1FB0">
      <w:pPr>
        <w:rPr>
          <w:szCs w:val="22"/>
        </w:rPr>
      </w:pPr>
      <w:r w:rsidRPr="00886B27">
        <w:rPr>
          <w:szCs w:val="22"/>
        </w:rPr>
        <w:t>Prioriterade insatser:</w:t>
      </w:r>
    </w:p>
    <w:p w14:paraId="06170D24" w14:textId="77777777" w:rsidR="00ED1FB0" w:rsidRPr="00886B27" w:rsidRDefault="00ED1FB0" w:rsidP="00ED1FB0">
      <w:pPr>
        <w:pStyle w:val="Liststycke"/>
        <w:numPr>
          <w:ilvl w:val="0"/>
          <w:numId w:val="18"/>
        </w:numPr>
        <w:rPr>
          <w:b/>
          <w:bCs/>
          <w:szCs w:val="22"/>
        </w:rPr>
      </w:pPr>
      <w:r w:rsidRPr="00886B27">
        <w:rPr>
          <w:b/>
          <w:bCs/>
          <w:szCs w:val="22"/>
        </w:rPr>
        <w:t>Fortsätta att utveckla ledarskapet och medarbetarskapet</w:t>
      </w:r>
    </w:p>
    <w:p w14:paraId="3D5FDD3E" w14:textId="77777777" w:rsidR="00ED1FB0" w:rsidRPr="00886B27" w:rsidRDefault="00ED1FB0" w:rsidP="00ED1FB0">
      <w:pPr>
        <w:rPr>
          <w:rFonts w:eastAsia="Times New Roman" w:cs="Times New Roman"/>
          <w:color w:val="000000" w:themeColor="text1"/>
          <w:szCs w:val="22"/>
        </w:rPr>
      </w:pPr>
      <w:r w:rsidRPr="00886B27">
        <w:rPr>
          <w:rFonts w:eastAsia="Times New Roman" w:cs="Times New Roman"/>
          <w:color w:val="000000" w:themeColor="text1"/>
          <w:szCs w:val="22"/>
        </w:rPr>
        <w:t xml:space="preserve">För att Regionfastigheter ska klara kärnuppdraget med att äga, underhålla och utveckla Region Skånes fastigheter är medarbetarna förvaltningens viktigaste resurs. Dessa behöver ha kompetenser som motsvarar nuvarande och kommande uppdrag och utmaningar för förvaltning. För att kompetenser och förmågor löpande ska underhållas och för att arbetssätt och processer kontinuerligt ska förfinas utifrån de erfarenheter som görs, krävs ett aktivt, ansvarstagande och hållbart ledarskap. Förvaltningens chefer är nyckelaktörer i arbetet med att säkerställa att Regionfastigheters medarbetare har de förutsättningar, möjligheter och kunskaper som uppdraget kräver. Därför arbetar förvaltningen löpande med att stärka ledarskapet såväl på individuell nivå som på gruppnivå. </w:t>
      </w:r>
    </w:p>
    <w:p w14:paraId="21B77216" w14:textId="77777777" w:rsidR="00ED1FB0" w:rsidRPr="00886B27" w:rsidRDefault="00ED1FB0" w:rsidP="00ED1FB0">
      <w:pPr>
        <w:rPr>
          <w:rFonts w:eastAsia="Times New Roman" w:cs="Times New Roman"/>
          <w:color w:val="000000" w:themeColor="text1"/>
          <w:szCs w:val="22"/>
        </w:rPr>
      </w:pPr>
    </w:p>
    <w:p w14:paraId="15A07250" w14:textId="77777777" w:rsidR="00ED1FB0" w:rsidRPr="00886B27" w:rsidRDefault="00ED1FB0" w:rsidP="00ED1FB0">
      <w:pPr>
        <w:rPr>
          <w:rFonts w:eastAsia="Times New Roman" w:cs="Times New Roman"/>
          <w:color w:val="000000" w:themeColor="text1"/>
          <w:szCs w:val="22"/>
        </w:rPr>
      </w:pPr>
      <w:r w:rsidRPr="00886B27">
        <w:rPr>
          <w:rFonts w:eastAsia="Times New Roman" w:cs="Times New Roman"/>
          <w:color w:val="000000" w:themeColor="text1"/>
          <w:szCs w:val="22"/>
        </w:rPr>
        <w:t>Region Skånes medarbetaridé är implementerad i förvaltningen. Det viktiga arbetet med att löpande föra dialog om det som medarbetaridén syftar till, det vill säga att tydliggöra förväntningar på arbetsgivare och medarbetare och förstärka kulturen av ansvarstagande, tillit och samarbete, behöver ständigt påminnas om och pågå.</w:t>
      </w:r>
    </w:p>
    <w:p w14:paraId="474E2301" w14:textId="77777777" w:rsidR="00ED1FB0" w:rsidRPr="00886B27" w:rsidRDefault="00ED1FB0" w:rsidP="00ED1FB0">
      <w:pPr>
        <w:rPr>
          <w:rFonts w:eastAsia="Times New Roman" w:cs="Times New Roman"/>
          <w:color w:val="000000" w:themeColor="text1"/>
          <w:szCs w:val="22"/>
        </w:rPr>
      </w:pPr>
    </w:p>
    <w:p w14:paraId="1BA1C332" w14:textId="77777777" w:rsidR="00ED1FB0" w:rsidRPr="00886B27" w:rsidRDefault="00ED1FB0" w:rsidP="00ED1FB0">
      <w:pPr>
        <w:rPr>
          <w:rFonts w:eastAsia="Times New Roman" w:cs="Times New Roman"/>
          <w:color w:val="000000" w:themeColor="text1"/>
          <w:szCs w:val="22"/>
        </w:rPr>
      </w:pPr>
      <w:r w:rsidRPr="00886B27">
        <w:rPr>
          <w:rFonts w:eastAsia="Times New Roman" w:cs="Times New Roman"/>
          <w:color w:val="000000" w:themeColor="text1"/>
          <w:szCs w:val="22"/>
        </w:rPr>
        <w:t>Medarbetarnas uppfattningar kring ledarskap och medarbetarskap följs upp i Region Skånes medarbetarenkät. Senaste mätningen genomfördes 2023 och nästkommande genomförs under våren 2025.</w:t>
      </w:r>
    </w:p>
    <w:p w14:paraId="27CA02DF" w14:textId="77777777" w:rsidR="00ED1FB0" w:rsidRPr="00886B27" w:rsidRDefault="00ED1FB0" w:rsidP="00ED1FB0">
      <w:pPr>
        <w:rPr>
          <w:rFonts w:eastAsia="Times New Roman" w:cs="Times New Roman"/>
          <w:color w:val="000000" w:themeColor="text1"/>
          <w:szCs w:val="22"/>
        </w:rPr>
      </w:pPr>
    </w:p>
    <w:p w14:paraId="0BDCF736" w14:textId="77777777" w:rsidR="00ED1FB0" w:rsidRPr="00886B27" w:rsidRDefault="00ED1FB0" w:rsidP="00ED1FB0">
      <w:pPr>
        <w:pStyle w:val="Liststycke"/>
        <w:numPr>
          <w:ilvl w:val="0"/>
          <w:numId w:val="1"/>
        </w:numPr>
        <w:rPr>
          <w:b/>
          <w:bCs/>
          <w:szCs w:val="22"/>
        </w:rPr>
      </w:pPr>
      <w:r w:rsidRPr="00886B27">
        <w:rPr>
          <w:b/>
          <w:bCs/>
          <w:szCs w:val="22"/>
        </w:rPr>
        <w:t>Fortsätta att stärka den interna kompetensen</w:t>
      </w:r>
    </w:p>
    <w:p w14:paraId="3704900F" w14:textId="77777777" w:rsidR="00ED1FB0" w:rsidRPr="00886B27" w:rsidRDefault="00ED1FB0" w:rsidP="00ED1FB0">
      <w:pPr>
        <w:rPr>
          <w:rFonts w:eastAsiaTheme="minorEastAsia"/>
          <w:color w:val="000000" w:themeColor="text1"/>
          <w:szCs w:val="22"/>
        </w:rPr>
      </w:pPr>
      <w:r w:rsidRPr="00886B27">
        <w:rPr>
          <w:rFonts w:eastAsia="Times New Roman" w:cs="Times New Roman"/>
          <w:color w:val="000000" w:themeColor="text1"/>
          <w:szCs w:val="22"/>
        </w:rPr>
        <w:t>Att utarbeta ramverket för Region Skånes kompetens- och tjänstemodell, KTM, kommer att pågå under 2025.</w:t>
      </w:r>
      <w:r w:rsidRPr="00886B27">
        <w:rPr>
          <w:rFonts w:eastAsia="Times New Roman" w:cs="Times New Roman"/>
          <w:b/>
          <w:bCs/>
          <w:color w:val="000000" w:themeColor="text1"/>
          <w:szCs w:val="22"/>
        </w:rPr>
        <w:t xml:space="preserve"> </w:t>
      </w:r>
      <w:r w:rsidRPr="00886B27">
        <w:rPr>
          <w:rFonts w:eastAsiaTheme="minorEastAsia"/>
          <w:color w:val="000000" w:themeColor="text1"/>
          <w:szCs w:val="22"/>
        </w:rPr>
        <w:t>Modellen utgår från ett kontinuerligt lärande under hela yrkeslivet och främjar möjligheten till karriär och utveckling med invånarnas behov i fokus. Arbetet blir en naturlig fortsättning på den kompetenskartläggning som genomförts i förvaltningen under 2024. KTM blir ett verktyg för att stärka den interna kompetensen och att vara en attraktiv arbetsgivare.</w:t>
      </w:r>
    </w:p>
    <w:p w14:paraId="45176731" w14:textId="77777777" w:rsidR="00ED1FB0" w:rsidRPr="00886B27" w:rsidRDefault="00ED1FB0" w:rsidP="00ED1FB0">
      <w:pPr>
        <w:rPr>
          <w:rFonts w:eastAsiaTheme="minorEastAsia"/>
          <w:color w:val="000000" w:themeColor="text1"/>
          <w:szCs w:val="22"/>
        </w:rPr>
      </w:pPr>
    </w:p>
    <w:p w14:paraId="2DDE912D" w14:textId="77777777" w:rsidR="00ED1FB0" w:rsidRPr="00886B27" w:rsidRDefault="00ED1FB0" w:rsidP="00ED1FB0">
      <w:pPr>
        <w:rPr>
          <w:rFonts w:eastAsia="Times New Roman" w:cs="Times New Roman"/>
          <w:szCs w:val="22"/>
        </w:rPr>
      </w:pPr>
      <w:r w:rsidRPr="00886B27">
        <w:rPr>
          <w:rFonts w:eastAsia="Times New Roman" w:cs="Times New Roman"/>
          <w:color w:val="000000" w:themeColor="text1"/>
          <w:szCs w:val="22"/>
        </w:rPr>
        <w:t>Arbetet med att minska nyttjandet av vissa grupper av externa konsulter, där interna kompetenser är att föredra, fortsätter.</w:t>
      </w:r>
    </w:p>
    <w:p w14:paraId="4E744509" w14:textId="77777777" w:rsidR="00ED1FB0" w:rsidRPr="00886B27" w:rsidRDefault="00ED1FB0" w:rsidP="00ED1FB0">
      <w:pPr>
        <w:rPr>
          <w:rFonts w:eastAsia="Times New Roman" w:cs="Times New Roman"/>
          <w:color w:val="000000" w:themeColor="text1"/>
          <w:szCs w:val="22"/>
        </w:rPr>
      </w:pPr>
    </w:p>
    <w:p w14:paraId="5D89545E" w14:textId="77777777" w:rsidR="00ED1FB0" w:rsidRPr="00886B27" w:rsidRDefault="00ED1FB0" w:rsidP="00ED1FB0">
      <w:pPr>
        <w:pStyle w:val="Liststycke"/>
        <w:numPr>
          <w:ilvl w:val="0"/>
          <w:numId w:val="18"/>
        </w:numPr>
        <w:rPr>
          <w:b/>
          <w:bCs/>
          <w:szCs w:val="22"/>
        </w:rPr>
      </w:pPr>
      <w:r w:rsidRPr="00886B27">
        <w:rPr>
          <w:b/>
          <w:bCs/>
          <w:szCs w:val="22"/>
        </w:rPr>
        <w:t>Fortsätta att utveckla driftskolan för att bredda kompetensen inom fastighetsdriften</w:t>
      </w:r>
    </w:p>
    <w:p w14:paraId="78767BC7" w14:textId="77777777" w:rsidR="00ED1FB0" w:rsidRPr="00886B27" w:rsidRDefault="00ED1FB0" w:rsidP="00ED1FB0">
      <w:pPr>
        <w:rPr>
          <w:rFonts w:eastAsia="Times New Roman" w:cs="Times New Roman"/>
          <w:color w:val="000000" w:themeColor="text1"/>
          <w:szCs w:val="22"/>
        </w:rPr>
      </w:pPr>
      <w:r w:rsidRPr="00886B27">
        <w:rPr>
          <w:rFonts w:eastAsia="Times New Roman" w:cs="Times New Roman"/>
          <w:color w:val="000000" w:themeColor="text1"/>
          <w:szCs w:val="22"/>
        </w:rPr>
        <w:t>I Regionfastigheter fortsätter utvecklingen av driftskolan där medarbetare inom fastighetsdriften utökar sin kompetens inom flera områden. Syftet med driftskolan är att skapa en hållbar driftsorganisation med bred kompetens. Detta är särskilt viktigt i takt med de omfattande investeringar i nya system som genomförs och som nu succesivt lämnas över till förvaltning och drift. Utmaningen med att säkra nödvändig kompetens långsiktigt ska inte underskattas. Satsningen på breddad kompetens förväntas också bidra till bättre arbetsmiljö och trivsel, mindre personalomsättning och minskat behov av inköp av externa entreprenörer.</w:t>
      </w:r>
    </w:p>
    <w:p w14:paraId="74777521" w14:textId="77777777" w:rsidR="00ED1FB0" w:rsidRPr="00886B27" w:rsidRDefault="00ED1FB0" w:rsidP="00ED1FB0">
      <w:pPr>
        <w:rPr>
          <w:rFonts w:eastAsia="Times New Roman" w:cs="Times New Roman"/>
          <w:color w:val="000000" w:themeColor="text1"/>
          <w:szCs w:val="22"/>
        </w:rPr>
      </w:pPr>
      <w:r w:rsidRPr="00886B27">
        <w:rPr>
          <w:rFonts w:eastAsia="Times New Roman" w:cs="Times New Roman"/>
          <w:color w:val="000000" w:themeColor="text1"/>
          <w:szCs w:val="22"/>
        </w:rPr>
        <w:t>Driftskolan kommer att integreras i Region Skånes kompetens- och tjänstemodell.</w:t>
      </w:r>
    </w:p>
    <w:p w14:paraId="25D56C4D" w14:textId="77777777" w:rsidR="00ED1FB0" w:rsidRPr="00691452" w:rsidRDefault="00ED1FB0" w:rsidP="00ED1FB0">
      <w:pPr>
        <w:pStyle w:val="Rubrik2"/>
        <w:rPr>
          <w:rFonts w:ascii="Public Sans" w:hAnsi="Public Sans"/>
        </w:rPr>
      </w:pPr>
      <w:bookmarkStart w:id="7" w:name="_Toc184195018"/>
      <w:r w:rsidRPr="00691452">
        <w:rPr>
          <w:rFonts w:ascii="Public Sans" w:hAnsi="Public Sans"/>
        </w:rPr>
        <w:t>God ekonomisk hushållning</w:t>
      </w:r>
      <w:bookmarkEnd w:id="7"/>
    </w:p>
    <w:p w14:paraId="07A87C73" w14:textId="77777777" w:rsidR="00ED1FB0" w:rsidRPr="00886B27" w:rsidRDefault="00ED1FB0" w:rsidP="00ED1FB0">
      <w:pPr>
        <w:rPr>
          <w:szCs w:val="22"/>
        </w:rPr>
      </w:pPr>
      <w:r w:rsidRPr="00886B27">
        <w:rPr>
          <w:szCs w:val="22"/>
        </w:rPr>
        <w:t xml:space="preserve">För att Region Skåne ska kunna förse skåningarna med hälso- och sjukvård och kollektivtrafik har Regionfastigheter i uppdrag att tillhandahålla ändamålsenliga lokaler för regionens verksamheter. Det ska Regionfastigheter göra till en så låg kostnad som möjligt, så </w:t>
      </w:r>
      <w:r w:rsidRPr="00886B27">
        <w:rPr>
          <w:szCs w:val="22"/>
        </w:rPr>
        <w:lastRenderedPageBreak/>
        <w:t>att Region Skåne kan använda så mycket resurser som möjligt i kärnverksamheten. Region Skåne befinner sig i ett mycket besvärligt ekonomiskt läge. Som stödverksamhet har Regionfastigheter ett särskilt ansvar att verka för god ekonomisk hushållning och samtidigt leva upp till sitt grunduppdrag.</w:t>
      </w:r>
    </w:p>
    <w:p w14:paraId="65BAFD46" w14:textId="77777777" w:rsidR="00ED1FB0" w:rsidRPr="00886B27" w:rsidRDefault="00ED1FB0" w:rsidP="00ED1FB0">
      <w:pPr>
        <w:rPr>
          <w:szCs w:val="22"/>
          <w:highlight w:val="yellow"/>
        </w:rPr>
      </w:pPr>
    </w:p>
    <w:p w14:paraId="51935ACB" w14:textId="77777777" w:rsidR="00ED1FB0" w:rsidRPr="00E56955" w:rsidRDefault="00ED1FB0" w:rsidP="00ED1FB0">
      <w:pPr>
        <w:rPr>
          <w:rFonts w:ascii="Public Sans" w:hAnsi="Public Sans" w:cstheme="majorHAnsi"/>
          <w:b/>
          <w:bCs/>
          <w:szCs w:val="22"/>
        </w:rPr>
      </w:pPr>
      <w:r w:rsidRPr="00E56955">
        <w:rPr>
          <w:rFonts w:ascii="Public Sans" w:hAnsi="Public Sans" w:cstheme="majorHAnsi"/>
          <w:b/>
          <w:bCs/>
          <w:szCs w:val="22"/>
        </w:rPr>
        <w:t>Målsättning</w:t>
      </w:r>
    </w:p>
    <w:p w14:paraId="1D0EFAF6" w14:textId="77777777" w:rsidR="00ED1FB0" w:rsidRPr="00886B27" w:rsidRDefault="00ED1FB0" w:rsidP="00ED1FB0">
      <w:pPr>
        <w:rPr>
          <w:szCs w:val="22"/>
        </w:rPr>
      </w:pPr>
      <w:r w:rsidRPr="00886B27">
        <w:rPr>
          <w:szCs w:val="22"/>
        </w:rPr>
        <w:t>Regionfastigheter har haft för vana att klara av att hålla budget. Det förändrades under 2022 som en följd av kraftigt ökade energipriser och kraftig inflation. För att kunna hålla budget framöver krävs ett mer aktivt arbete med effektivisering och hemtagning av förväntade besparingar. Regionfastigheter ska utveckla sitt arbete med budgeten som styrmedel på varje nivå i ansvarskedjan.</w:t>
      </w:r>
    </w:p>
    <w:p w14:paraId="62BE6158" w14:textId="77777777" w:rsidR="00ED1FB0" w:rsidRPr="00886B27" w:rsidRDefault="00ED1FB0" w:rsidP="00ED1FB0">
      <w:pPr>
        <w:rPr>
          <w:szCs w:val="22"/>
        </w:rPr>
      </w:pPr>
    </w:p>
    <w:p w14:paraId="3CA94CBA" w14:textId="77777777" w:rsidR="00ED1FB0" w:rsidRPr="00886B27" w:rsidRDefault="00ED1FB0" w:rsidP="00ED1FB0">
      <w:pPr>
        <w:rPr>
          <w:szCs w:val="22"/>
        </w:rPr>
      </w:pPr>
      <w:r w:rsidRPr="00886B27">
        <w:rPr>
          <w:b/>
          <w:bCs/>
          <w:szCs w:val="22"/>
        </w:rPr>
        <w:t>Mål:</w:t>
      </w:r>
      <w:r w:rsidRPr="00886B27">
        <w:rPr>
          <w:szCs w:val="22"/>
        </w:rPr>
        <w:t xml:space="preserve"> Regionfastigheter ska hålla antagen årlig budget.</w:t>
      </w:r>
    </w:p>
    <w:p w14:paraId="45F15AA7" w14:textId="77777777" w:rsidR="00ED1FB0" w:rsidRDefault="00ED1FB0" w:rsidP="00ED1FB0">
      <w:pPr>
        <w:rPr>
          <w:rFonts w:cstheme="majorHAnsi"/>
          <w:b/>
          <w:bCs/>
          <w:szCs w:val="22"/>
        </w:rPr>
      </w:pPr>
    </w:p>
    <w:p w14:paraId="572FA5C3" w14:textId="77777777" w:rsidR="00ED1FB0" w:rsidRPr="00E56955" w:rsidRDefault="00ED1FB0" w:rsidP="00ED1FB0">
      <w:pPr>
        <w:rPr>
          <w:rFonts w:ascii="Public Sans" w:hAnsi="Public Sans" w:cstheme="majorHAnsi"/>
          <w:b/>
          <w:bCs/>
          <w:szCs w:val="22"/>
        </w:rPr>
      </w:pPr>
      <w:r w:rsidRPr="00E56955">
        <w:rPr>
          <w:rFonts w:ascii="Public Sans" w:hAnsi="Public Sans" w:cstheme="majorHAnsi"/>
          <w:b/>
          <w:bCs/>
          <w:szCs w:val="22"/>
        </w:rPr>
        <w:t>Uppföljning</w:t>
      </w:r>
    </w:p>
    <w:p w14:paraId="59F715A9" w14:textId="77777777" w:rsidR="00ED1FB0" w:rsidRPr="00886B27" w:rsidRDefault="00ED1FB0" w:rsidP="00ED1FB0">
      <w:pPr>
        <w:rPr>
          <w:szCs w:val="22"/>
        </w:rPr>
      </w:pPr>
      <w:r w:rsidRPr="00886B27">
        <w:rPr>
          <w:szCs w:val="22"/>
        </w:rPr>
        <w:t>Regionfastigheter ska följa upp fokusområdets resultat genom:</w:t>
      </w:r>
    </w:p>
    <w:p w14:paraId="7706DCD7" w14:textId="77777777" w:rsidR="00ED1FB0" w:rsidRPr="00886B27" w:rsidRDefault="00ED1FB0" w:rsidP="00ED1FB0">
      <w:pPr>
        <w:pStyle w:val="Liststycke"/>
        <w:numPr>
          <w:ilvl w:val="0"/>
          <w:numId w:val="18"/>
        </w:numPr>
        <w:rPr>
          <w:szCs w:val="22"/>
        </w:rPr>
      </w:pPr>
      <w:r w:rsidRPr="00886B27">
        <w:rPr>
          <w:szCs w:val="22"/>
        </w:rPr>
        <w:t>Budgetuppföljning på varje ansvarsnivå</w:t>
      </w:r>
    </w:p>
    <w:p w14:paraId="5D532C40" w14:textId="77777777" w:rsidR="00ED1FB0" w:rsidRPr="00886B27" w:rsidRDefault="00ED1FB0" w:rsidP="00ED1FB0">
      <w:pPr>
        <w:rPr>
          <w:szCs w:val="22"/>
        </w:rPr>
      </w:pPr>
    </w:p>
    <w:p w14:paraId="5AD56EBC" w14:textId="77777777" w:rsidR="00ED1FB0" w:rsidRPr="00E56955" w:rsidRDefault="00ED1FB0" w:rsidP="00ED1FB0">
      <w:pPr>
        <w:rPr>
          <w:rFonts w:ascii="Public Sans" w:hAnsi="Public Sans" w:cstheme="majorHAnsi"/>
          <w:b/>
          <w:bCs/>
          <w:szCs w:val="22"/>
        </w:rPr>
      </w:pPr>
      <w:r w:rsidRPr="00E56955">
        <w:rPr>
          <w:rFonts w:ascii="Public Sans" w:hAnsi="Public Sans" w:cstheme="majorHAnsi"/>
          <w:b/>
          <w:bCs/>
          <w:szCs w:val="22"/>
        </w:rPr>
        <w:t>Genomförande</w:t>
      </w:r>
    </w:p>
    <w:p w14:paraId="49061A2F" w14:textId="77777777" w:rsidR="00ED1FB0" w:rsidRPr="00886B27" w:rsidRDefault="00ED1FB0" w:rsidP="00ED1FB0">
      <w:pPr>
        <w:rPr>
          <w:szCs w:val="22"/>
        </w:rPr>
      </w:pPr>
      <w:r w:rsidRPr="00886B27">
        <w:rPr>
          <w:szCs w:val="22"/>
        </w:rPr>
        <w:t>Fokusområdet har identifierat flera områden där det finns möjlighet att göra kostnadsbesparingar och kommer under 2025 att arbeta med de högst prioriterade förbättringsområdena som följer nedan:</w:t>
      </w:r>
    </w:p>
    <w:p w14:paraId="0A274888" w14:textId="77777777" w:rsidR="00ED1FB0" w:rsidRPr="00886B27" w:rsidRDefault="00ED1FB0" w:rsidP="00ED1FB0">
      <w:pPr>
        <w:rPr>
          <w:szCs w:val="22"/>
        </w:rPr>
      </w:pPr>
    </w:p>
    <w:p w14:paraId="20163983" w14:textId="77777777" w:rsidR="00ED1FB0" w:rsidRPr="00886B27" w:rsidRDefault="00ED1FB0" w:rsidP="00ED1FB0">
      <w:pPr>
        <w:pStyle w:val="Liststycke"/>
        <w:numPr>
          <w:ilvl w:val="0"/>
          <w:numId w:val="18"/>
        </w:numPr>
        <w:rPr>
          <w:b/>
          <w:bCs/>
          <w:szCs w:val="22"/>
        </w:rPr>
      </w:pPr>
      <w:r w:rsidRPr="00886B27">
        <w:rPr>
          <w:b/>
          <w:bCs/>
          <w:szCs w:val="22"/>
        </w:rPr>
        <w:t>Byggkostnader</w:t>
      </w:r>
    </w:p>
    <w:p w14:paraId="0FA92199" w14:textId="77777777" w:rsidR="00ED1FB0" w:rsidRPr="00886B27" w:rsidRDefault="00ED1FB0" w:rsidP="00ED1FB0">
      <w:pPr>
        <w:rPr>
          <w:szCs w:val="22"/>
        </w:rPr>
      </w:pPr>
      <w:r w:rsidRPr="00886B27">
        <w:rPr>
          <w:szCs w:val="22"/>
        </w:rPr>
        <w:t>Byggsektorns stigande kostnader de senaste åren, tillsammans med ökade finansiella utgifter på grund av förändringar i ränteläget, har lyft fram vikten av att skapa offentliga verksamhetslokaler till lägre kostnader. För att klara av att tillgodose behovet av nybyggnation under dessa nya förutsättningar är det avgörande att förstå de faktorer som påverkar kostnadsstrukturen inom byggbranschen och att hitta hållbara lösningar för att främja en kostnadseffektiv och ansvarsfull utveckling.</w:t>
      </w:r>
    </w:p>
    <w:p w14:paraId="667A973D" w14:textId="77777777" w:rsidR="00ED1FB0" w:rsidRPr="00886B27" w:rsidRDefault="00ED1FB0" w:rsidP="00ED1FB0">
      <w:pPr>
        <w:rPr>
          <w:szCs w:val="22"/>
        </w:rPr>
      </w:pPr>
      <w:r w:rsidRPr="00886B27">
        <w:rPr>
          <w:szCs w:val="22"/>
        </w:rPr>
        <w:lastRenderedPageBreak/>
        <w:t>Med anledning av ovanstående avser fokusområde god ekonomisk hushållning utreda hur väl nuvarande arbetssätt fungerar.</w:t>
      </w:r>
    </w:p>
    <w:p w14:paraId="0808E2E5" w14:textId="77777777" w:rsidR="00ED1FB0" w:rsidRPr="00886B27" w:rsidRDefault="00ED1FB0" w:rsidP="00ED1FB0">
      <w:pPr>
        <w:rPr>
          <w:szCs w:val="22"/>
        </w:rPr>
      </w:pPr>
    </w:p>
    <w:p w14:paraId="57F5159A" w14:textId="77777777" w:rsidR="00ED1FB0" w:rsidRPr="00886B27" w:rsidRDefault="00ED1FB0" w:rsidP="00ED1FB0">
      <w:pPr>
        <w:pStyle w:val="Liststycke"/>
        <w:keepNext/>
        <w:numPr>
          <w:ilvl w:val="0"/>
          <w:numId w:val="18"/>
        </w:numPr>
        <w:ind w:left="714" w:hanging="357"/>
        <w:rPr>
          <w:b/>
          <w:bCs/>
          <w:szCs w:val="22"/>
        </w:rPr>
      </w:pPr>
      <w:r w:rsidRPr="00886B27">
        <w:rPr>
          <w:b/>
          <w:bCs/>
          <w:szCs w:val="22"/>
        </w:rPr>
        <w:t>Öka andelen arbete i egen regi</w:t>
      </w:r>
    </w:p>
    <w:p w14:paraId="704A8770" w14:textId="77777777" w:rsidR="00ED1FB0" w:rsidRPr="00886B27" w:rsidRDefault="00ED1FB0" w:rsidP="00ED1FB0">
      <w:pPr>
        <w:rPr>
          <w:szCs w:val="22"/>
        </w:rPr>
      </w:pPr>
      <w:r w:rsidRPr="00886B27">
        <w:rPr>
          <w:szCs w:val="22"/>
        </w:rPr>
        <w:t xml:space="preserve">Under 2025 kommer Regionfastigheter att fokusera på att utföra en ökad andel arbeten i egen regi. </w:t>
      </w:r>
    </w:p>
    <w:p w14:paraId="763AD35D" w14:textId="77777777" w:rsidR="00ED1FB0" w:rsidRPr="00886B27" w:rsidRDefault="00ED1FB0" w:rsidP="00ED1FB0">
      <w:pPr>
        <w:rPr>
          <w:szCs w:val="22"/>
        </w:rPr>
      </w:pPr>
      <w:r w:rsidRPr="00886B27">
        <w:rPr>
          <w:szCs w:val="22"/>
        </w:rPr>
        <w:t>Verksamhetsområde Teknik ska utveckla organisation och kompetens för att utföra energikartläggningar och energideklarationer i egen regi.</w:t>
      </w:r>
    </w:p>
    <w:p w14:paraId="49CB8468" w14:textId="77777777" w:rsidR="00ED1FB0" w:rsidRPr="00886B27" w:rsidRDefault="00ED1FB0" w:rsidP="00ED1FB0">
      <w:pPr>
        <w:rPr>
          <w:szCs w:val="22"/>
        </w:rPr>
      </w:pPr>
      <w:r w:rsidRPr="00886B27">
        <w:rPr>
          <w:szCs w:val="22"/>
        </w:rPr>
        <w:t xml:space="preserve">Verksamhetsområde Fastighetsdrift ska utveckla förmågan att upprätthålla robusta byggnader för sjukvård och kollektivtrafik. En del av robustheten består av att utföra fler arbeten i egen regi. </w:t>
      </w:r>
    </w:p>
    <w:p w14:paraId="1FA359BB" w14:textId="77777777" w:rsidR="00ED1FB0" w:rsidRPr="00886B27" w:rsidRDefault="00ED1FB0" w:rsidP="00ED1FB0">
      <w:pPr>
        <w:rPr>
          <w:szCs w:val="22"/>
        </w:rPr>
      </w:pPr>
      <w:r w:rsidRPr="00886B27">
        <w:rPr>
          <w:szCs w:val="22"/>
        </w:rPr>
        <w:t>Insatsen ska leda till att den mest ekonomiskt fördelaktiga aktören, intern eller extern, utför arbetena.</w:t>
      </w:r>
    </w:p>
    <w:p w14:paraId="58B62D81" w14:textId="77777777" w:rsidR="00ED1FB0" w:rsidRPr="00886B27" w:rsidRDefault="00ED1FB0" w:rsidP="00ED1FB0">
      <w:pPr>
        <w:rPr>
          <w:szCs w:val="22"/>
        </w:rPr>
      </w:pPr>
    </w:p>
    <w:p w14:paraId="5FFC8E25" w14:textId="77777777" w:rsidR="00ED1FB0" w:rsidRPr="00886B27" w:rsidRDefault="00ED1FB0" w:rsidP="00ED1FB0">
      <w:pPr>
        <w:pStyle w:val="Liststycke"/>
        <w:numPr>
          <w:ilvl w:val="0"/>
          <w:numId w:val="18"/>
        </w:numPr>
        <w:rPr>
          <w:b/>
          <w:bCs/>
          <w:szCs w:val="22"/>
        </w:rPr>
      </w:pPr>
      <w:r w:rsidRPr="00886B27">
        <w:rPr>
          <w:b/>
          <w:bCs/>
          <w:szCs w:val="22"/>
        </w:rPr>
        <w:t>Ny styrning av fastighetsdriften</w:t>
      </w:r>
    </w:p>
    <w:p w14:paraId="76E60AF0" w14:textId="77777777" w:rsidR="00ED1FB0" w:rsidRPr="00886B27" w:rsidRDefault="00ED1FB0" w:rsidP="00ED1FB0">
      <w:pPr>
        <w:rPr>
          <w:szCs w:val="22"/>
        </w:rPr>
      </w:pPr>
      <w:r w:rsidRPr="00886B27">
        <w:rPr>
          <w:szCs w:val="22"/>
        </w:rPr>
        <w:t>Regionfastigheter har beslutat att avveckla nuvarande modell med ett internt driftavtal för att styra Verksamhetsområde Fastighetsdrift och ersätta avtalet med en ny styrmodell. Uppdraget med att ta fram styrmodell i form av uppdragsbeskrivning, mål och målnivåer för VO Fastighetsdrift genomförs i projektform. Projektet ska även ta fram konkreta metoder för uppföljning, så att förvaltningen kan visa hur väl VO Fastighetsdrift levererar mot fastställda mål.</w:t>
      </w:r>
    </w:p>
    <w:p w14:paraId="723E8FCC" w14:textId="77777777" w:rsidR="00ED1FB0" w:rsidRPr="00886B27" w:rsidRDefault="00ED1FB0" w:rsidP="00ED1FB0">
      <w:pPr>
        <w:rPr>
          <w:szCs w:val="22"/>
        </w:rPr>
      </w:pPr>
      <w:r w:rsidRPr="00886B27">
        <w:rPr>
          <w:szCs w:val="22"/>
        </w:rPr>
        <w:t>Projektet syftar till att VO Fastighetsdrift ska tillgängliggöra lokaler för Region Skånes verksamheter så effektivt som möjligt.</w:t>
      </w:r>
    </w:p>
    <w:p w14:paraId="651F73A0" w14:textId="77777777" w:rsidR="00ED1FB0" w:rsidRPr="00886B27" w:rsidRDefault="00ED1FB0" w:rsidP="00ED1FB0">
      <w:pPr>
        <w:rPr>
          <w:szCs w:val="22"/>
        </w:rPr>
      </w:pPr>
    </w:p>
    <w:p w14:paraId="02A3BE56" w14:textId="77777777" w:rsidR="00ED1FB0" w:rsidRPr="00886B27" w:rsidRDefault="00ED1FB0" w:rsidP="00ED1FB0">
      <w:pPr>
        <w:pStyle w:val="Liststycke"/>
        <w:numPr>
          <w:ilvl w:val="0"/>
          <w:numId w:val="18"/>
        </w:numPr>
        <w:rPr>
          <w:szCs w:val="22"/>
        </w:rPr>
      </w:pPr>
      <w:r w:rsidRPr="00886B27">
        <w:rPr>
          <w:b/>
          <w:bCs/>
          <w:szCs w:val="22"/>
        </w:rPr>
        <w:t>Serviceavtal och licensavtal</w:t>
      </w:r>
    </w:p>
    <w:p w14:paraId="5EC98A5C" w14:textId="77777777" w:rsidR="00ED1FB0" w:rsidRPr="00886B27" w:rsidRDefault="00ED1FB0" w:rsidP="00ED1FB0">
      <w:pPr>
        <w:rPr>
          <w:szCs w:val="22"/>
        </w:rPr>
      </w:pPr>
      <w:r w:rsidRPr="00886B27">
        <w:rPr>
          <w:szCs w:val="22"/>
        </w:rPr>
        <w:t>Inom fokusområde Ökad tillgänglighet drivs arbetet med att utveckla hur förvaltningen sluter serviceavtal med entreprenörer och licensavtal inom projekt. När arbetet med processer och rutiner för serviceavtal och licensavtal är uppdaterade och fastställda ska fokusområde god ekonomisk hushållning utvärdera kostnaden för detta och utreda vilken aktör, intern eller extern, som är bäst lämpad att utföra arbetena.</w:t>
      </w:r>
    </w:p>
    <w:p w14:paraId="74CDD033" w14:textId="77777777" w:rsidR="00ED1FB0" w:rsidRPr="00886B27" w:rsidRDefault="00ED1FB0" w:rsidP="00ED1FB0">
      <w:pPr>
        <w:rPr>
          <w:szCs w:val="22"/>
        </w:rPr>
      </w:pPr>
    </w:p>
    <w:p w14:paraId="16B93123" w14:textId="77777777" w:rsidR="00ED1FB0" w:rsidRPr="00886B27" w:rsidRDefault="00ED1FB0" w:rsidP="00ED1FB0">
      <w:pPr>
        <w:pStyle w:val="Liststycke"/>
        <w:numPr>
          <w:ilvl w:val="0"/>
          <w:numId w:val="18"/>
        </w:numPr>
        <w:rPr>
          <w:b/>
          <w:bCs/>
          <w:szCs w:val="22"/>
        </w:rPr>
      </w:pPr>
      <w:r w:rsidRPr="00886B27">
        <w:rPr>
          <w:b/>
          <w:bCs/>
          <w:szCs w:val="22"/>
        </w:rPr>
        <w:t>Avtal för förbrukningsmedia</w:t>
      </w:r>
    </w:p>
    <w:p w14:paraId="599EC1E3" w14:textId="77777777" w:rsidR="00ED1FB0" w:rsidRPr="00886B27" w:rsidRDefault="00ED1FB0" w:rsidP="00ED1FB0">
      <w:pPr>
        <w:rPr>
          <w:szCs w:val="22"/>
        </w:rPr>
      </w:pPr>
      <w:r w:rsidRPr="00886B27">
        <w:rPr>
          <w:szCs w:val="22"/>
        </w:rPr>
        <w:t>Avtal för förbrukningsmedia ska kartläggas och systematiseras. Insatsen syftar till att minska kostnaderna för Regionfastigheters avtal för förbrukningsmedia genom att säkerställa att fakturerade kostnader är enligt avtal.</w:t>
      </w:r>
      <w:r w:rsidRPr="00886B27">
        <w:rPr>
          <w:szCs w:val="22"/>
        </w:rPr>
        <w:br/>
      </w:r>
    </w:p>
    <w:p w14:paraId="3A8107D1" w14:textId="77777777" w:rsidR="00ED1FB0" w:rsidRPr="00886B27" w:rsidRDefault="00ED1FB0" w:rsidP="00ED1FB0">
      <w:pPr>
        <w:keepNext/>
        <w:rPr>
          <w:szCs w:val="22"/>
        </w:rPr>
      </w:pPr>
      <w:r w:rsidRPr="00886B27">
        <w:rPr>
          <w:szCs w:val="22"/>
        </w:rPr>
        <w:t>Nedan följer fokusområdets sedan tidigare prioriterade insatser för 2025 som kommer att bidra till fokusområdets mål:</w:t>
      </w:r>
    </w:p>
    <w:p w14:paraId="0315BB6A" w14:textId="77777777" w:rsidR="00ED1FB0" w:rsidRPr="00886B27" w:rsidRDefault="00ED1FB0" w:rsidP="00ED1FB0">
      <w:pPr>
        <w:rPr>
          <w:szCs w:val="22"/>
        </w:rPr>
      </w:pPr>
    </w:p>
    <w:p w14:paraId="73C386DB" w14:textId="77777777" w:rsidR="00ED1FB0" w:rsidRPr="00886B27" w:rsidRDefault="00ED1FB0" w:rsidP="00ED1FB0">
      <w:pPr>
        <w:pStyle w:val="Liststycke"/>
        <w:keepNext/>
        <w:numPr>
          <w:ilvl w:val="0"/>
          <w:numId w:val="18"/>
        </w:numPr>
        <w:ind w:left="714" w:hanging="357"/>
        <w:rPr>
          <w:b/>
          <w:bCs/>
          <w:szCs w:val="22"/>
        </w:rPr>
      </w:pPr>
      <w:r w:rsidRPr="00886B27">
        <w:rPr>
          <w:b/>
          <w:bCs/>
          <w:szCs w:val="22"/>
        </w:rPr>
        <w:t>Energieffektivisera genom teknikutveckling och beteendeförändring</w:t>
      </w:r>
    </w:p>
    <w:p w14:paraId="2F1965FD" w14:textId="77777777" w:rsidR="00ED1FB0" w:rsidRPr="00886B27" w:rsidRDefault="00ED1FB0" w:rsidP="00ED1FB0">
      <w:pPr>
        <w:rPr>
          <w:i/>
          <w:iCs/>
          <w:szCs w:val="22"/>
        </w:rPr>
      </w:pPr>
      <w:r w:rsidRPr="00886B27">
        <w:rPr>
          <w:szCs w:val="22"/>
        </w:rPr>
        <w:t xml:space="preserve">För att hålla Region Skånes energikostnader så låga som möjligt fortsätter Regionfastigheter att fokusera på energieffektivisering. Arbetet med energieffektivisering utgår från beslutad </w:t>
      </w:r>
      <w:r w:rsidRPr="00886B27">
        <w:rPr>
          <w:i/>
          <w:iCs/>
          <w:szCs w:val="22"/>
        </w:rPr>
        <w:t>Taktisk handlingsplan energi år 2023–2025</w:t>
      </w:r>
      <w:r w:rsidRPr="00886B27">
        <w:rPr>
          <w:szCs w:val="22"/>
        </w:rPr>
        <w:t xml:space="preserve"> vilken berör samtliga fokusområden i </w:t>
      </w:r>
      <w:r w:rsidRPr="00886B27">
        <w:rPr>
          <w:i/>
          <w:iCs/>
          <w:szCs w:val="22"/>
        </w:rPr>
        <w:t>Energistrategi 2030.</w:t>
      </w:r>
    </w:p>
    <w:p w14:paraId="7C6A7100" w14:textId="77777777" w:rsidR="00ED1FB0" w:rsidRPr="00886B27" w:rsidRDefault="00ED1FB0" w:rsidP="00ED1FB0">
      <w:pPr>
        <w:rPr>
          <w:szCs w:val="22"/>
        </w:rPr>
      </w:pPr>
      <w:r w:rsidRPr="00886B27">
        <w:rPr>
          <w:szCs w:val="22"/>
        </w:rPr>
        <w:t>Det tekniska utvecklingsarbetet kompletteras av kommunikationsinsatser och kunskapshöjande åtgärder.</w:t>
      </w:r>
    </w:p>
    <w:p w14:paraId="1A7E01E4" w14:textId="77777777" w:rsidR="00ED1FB0" w:rsidRPr="00886B27" w:rsidRDefault="00ED1FB0" w:rsidP="00ED1FB0">
      <w:pPr>
        <w:rPr>
          <w:szCs w:val="22"/>
        </w:rPr>
      </w:pPr>
    </w:p>
    <w:p w14:paraId="6F1B4917" w14:textId="77777777" w:rsidR="00ED1FB0" w:rsidRPr="00886B27" w:rsidRDefault="00ED1FB0" w:rsidP="00ED1FB0">
      <w:pPr>
        <w:pStyle w:val="Liststycke"/>
        <w:numPr>
          <w:ilvl w:val="0"/>
          <w:numId w:val="18"/>
        </w:numPr>
        <w:rPr>
          <w:b/>
          <w:bCs/>
          <w:szCs w:val="22"/>
        </w:rPr>
      </w:pPr>
      <w:r w:rsidRPr="00886B27">
        <w:rPr>
          <w:b/>
          <w:bCs/>
          <w:szCs w:val="22"/>
        </w:rPr>
        <w:t>Systematisera arbetet med eftermarknad</w:t>
      </w:r>
    </w:p>
    <w:p w14:paraId="04CFD937" w14:textId="77777777" w:rsidR="00ED1FB0" w:rsidRPr="00886B27" w:rsidRDefault="00ED1FB0" w:rsidP="00ED1FB0">
      <w:pPr>
        <w:rPr>
          <w:szCs w:val="22"/>
        </w:rPr>
      </w:pPr>
      <w:r w:rsidRPr="00886B27">
        <w:rPr>
          <w:szCs w:val="22"/>
        </w:rPr>
        <w:t>Regionfastigheter har under 2024 etablerat en enhet för eftermarknad som mer systematiskt följer upp och utvärderar avtal och säkerställer att dessa följs och att leveranser sker korrekt. Avsikten är att förbättra arbetet med de garantibesiktningar som ska göras två år efter avslutat byggprojekt. Genom att samla allt arbete med garantibesiktningar i en enhet har arbetet effektiviserats. En samlad hantering av dessa frågor ska öka kvaliteten i arbetet samt medföra stora besparingar i takt med att entreprenörer får ta större kostnader i enlighet med de garantier de utfärdat.</w:t>
      </w:r>
    </w:p>
    <w:p w14:paraId="34CCCF26" w14:textId="77777777" w:rsidR="00ED1FB0" w:rsidRPr="00886B27" w:rsidRDefault="00ED1FB0" w:rsidP="00ED1FB0">
      <w:pPr>
        <w:rPr>
          <w:szCs w:val="22"/>
        </w:rPr>
      </w:pPr>
    </w:p>
    <w:p w14:paraId="3033B92D" w14:textId="77777777" w:rsidR="00ED1FB0" w:rsidRPr="00886B27" w:rsidRDefault="00ED1FB0" w:rsidP="00ED1FB0">
      <w:pPr>
        <w:pStyle w:val="Liststycke"/>
        <w:numPr>
          <w:ilvl w:val="0"/>
          <w:numId w:val="18"/>
        </w:numPr>
        <w:rPr>
          <w:b/>
          <w:bCs/>
          <w:szCs w:val="22"/>
        </w:rPr>
      </w:pPr>
      <w:r w:rsidRPr="00886B27">
        <w:rPr>
          <w:b/>
          <w:bCs/>
          <w:szCs w:val="22"/>
        </w:rPr>
        <w:t>Mäta nyttjandegrad i lokal inför eventuell om- eller tillbyggnad</w:t>
      </w:r>
    </w:p>
    <w:p w14:paraId="4B53BB0E" w14:textId="77777777" w:rsidR="00ED1FB0" w:rsidRPr="00886B27" w:rsidRDefault="00ED1FB0" w:rsidP="00ED1FB0">
      <w:pPr>
        <w:rPr>
          <w:szCs w:val="22"/>
        </w:rPr>
      </w:pPr>
      <w:r w:rsidRPr="00886B27">
        <w:rPr>
          <w:szCs w:val="22"/>
        </w:rPr>
        <w:lastRenderedPageBreak/>
        <w:t>Utifrån återkoppling från Region Skånes verksamheter, ser Regionfastigheter behov av att ytterligare stödja kunderna i deras behovsanalyser inför eventuell om- och tillbyggnationer av lokaler. Regionfastigheter bedömer att verksamhetens uppskattade lokalbehov inte alltid är faktiskt lokalbehov. Därför ska nyttjandegradsanalys genomföras i samband med alla större lokalförändringar för att säkerställa faktiskt behov och nyttjande.</w:t>
      </w:r>
    </w:p>
    <w:p w14:paraId="663BDB67" w14:textId="77777777" w:rsidR="00ED1FB0" w:rsidRPr="00886B27" w:rsidRDefault="00ED1FB0" w:rsidP="00ED1FB0">
      <w:pPr>
        <w:rPr>
          <w:szCs w:val="22"/>
        </w:rPr>
      </w:pPr>
    </w:p>
    <w:p w14:paraId="215CFE06" w14:textId="77777777" w:rsidR="00ED1FB0" w:rsidRPr="00886B27" w:rsidRDefault="00ED1FB0" w:rsidP="00ED1FB0">
      <w:pPr>
        <w:pStyle w:val="Liststycke"/>
        <w:numPr>
          <w:ilvl w:val="0"/>
          <w:numId w:val="18"/>
        </w:numPr>
        <w:rPr>
          <w:b/>
          <w:bCs/>
          <w:szCs w:val="22"/>
        </w:rPr>
      </w:pPr>
      <w:r w:rsidRPr="00886B27">
        <w:rPr>
          <w:b/>
          <w:bCs/>
          <w:szCs w:val="22"/>
        </w:rPr>
        <w:t>Möjligt att utveckla regiongemensamma administrativa lokaler</w:t>
      </w:r>
    </w:p>
    <w:p w14:paraId="0789EC79" w14:textId="77777777" w:rsidR="00ED1FB0" w:rsidRDefault="00ED1FB0" w:rsidP="00ED1FB0">
      <w:pPr>
        <w:rPr>
          <w:szCs w:val="22"/>
          <w:highlight w:val="yellow"/>
        </w:rPr>
      </w:pPr>
      <w:r w:rsidRPr="532B3774">
        <w:rPr>
          <w:szCs w:val="22"/>
        </w:rPr>
        <w:t xml:space="preserve">Regionfastigheter bedömer att det finns god potential i att fortsätta arbetet med att se över utformning och storlek på Region Skånes administrativa lokaler. </w:t>
      </w:r>
      <w:r w:rsidRPr="532B3774">
        <w:rPr>
          <w:rFonts w:eastAsia="Literata" w:cs="Literata"/>
          <w:szCs w:val="22"/>
        </w:rPr>
        <w:t>Ett nytt arbetssätt, där Regionservice tar över hyresavtalet och därefter hyr ut arbetsplatspaket till verksamheterna, är framtaget. Detta kommer möjliggöra att fler medarbetare har arbetsplats i samma lokaler och därmed kan antalet administrativa lokaler minskas.</w:t>
      </w:r>
    </w:p>
    <w:p w14:paraId="51418B96" w14:textId="77777777" w:rsidR="00ED1FB0" w:rsidRPr="00E56955" w:rsidRDefault="00ED1FB0" w:rsidP="00ED1FB0">
      <w:pPr>
        <w:pStyle w:val="Rubrik2"/>
        <w:rPr>
          <w:rFonts w:ascii="Public Sans" w:hAnsi="Public Sans"/>
          <w:szCs w:val="32"/>
        </w:rPr>
      </w:pPr>
      <w:bookmarkStart w:id="8" w:name="_Toc184195019"/>
      <w:r w:rsidRPr="00E56955">
        <w:rPr>
          <w:rFonts w:ascii="Public Sans" w:hAnsi="Public Sans"/>
          <w:szCs w:val="32"/>
        </w:rPr>
        <w:t>Ekonomiska förutsättningar</w:t>
      </w:r>
      <w:bookmarkEnd w:id="8"/>
    </w:p>
    <w:p w14:paraId="5A94EB15" w14:textId="77777777" w:rsidR="00ED1FB0" w:rsidRPr="00886B27" w:rsidRDefault="00ED1FB0" w:rsidP="00ED1FB0">
      <w:pPr>
        <w:rPr>
          <w:szCs w:val="22"/>
        </w:rPr>
      </w:pPr>
    </w:p>
    <w:p w14:paraId="1E0B6C8F" w14:textId="77777777" w:rsidR="00ED1FB0" w:rsidRPr="00FF0ACA" w:rsidRDefault="00ED1FB0" w:rsidP="00ED1FB0">
      <w:pPr>
        <w:pStyle w:val="Ingetavstnd"/>
        <w:rPr>
          <w:rFonts w:ascii="Public Sans" w:hAnsi="Public Sans"/>
          <w:sz w:val="22"/>
          <w:szCs w:val="22"/>
        </w:rPr>
      </w:pPr>
      <w:r w:rsidRPr="00FF0ACA">
        <w:rPr>
          <w:rFonts w:ascii="Public Sans" w:hAnsi="Public Sans"/>
          <w:sz w:val="22"/>
          <w:szCs w:val="22"/>
        </w:rPr>
        <w:t>Regionbidrag</w:t>
      </w:r>
      <w:r w:rsidRPr="00E56955">
        <w:rPr>
          <w:rFonts w:ascii="Public Sans" w:hAnsi="Public Sans"/>
          <w:sz w:val="22"/>
          <w:szCs w:val="22"/>
        </w:rPr>
        <w:t xml:space="preserve"> och internränta</w:t>
      </w:r>
    </w:p>
    <w:p w14:paraId="37505AF4" w14:textId="77777777" w:rsidR="00ED1FB0" w:rsidRPr="00FF0ACA" w:rsidRDefault="00ED1FB0" w:rsidP="00ED1FB0">
      <w:r>
        <w:t xml:space="preserve">Kostnadsansvar för konstutsmyckning och inköp går över från kulturnämnden till Regionfastigheters </w:t>
      </w:r>
      <w:proofErr w:type="spellStart"/>
      <w:r>
        <w:t>konstenhet</w:t>
      </w:r>
      <w:proofErr w:type="spellEnd"/>
      <w:r>
        <w:t>, vilket är en förändring jämfört med tidigare år. För detta erhålls ett regionbidrag om 7,0 miljoner kronor. Resultatkravet för fastighets- och servicenämnden och Regionfastigheter är borttaget sedan några år tillbaka.</w:t>
      </w:r>
    </w:p>
    <w:p w14:paraId="20BE148A" w14:textId="77777777" w:rsidR="00ED1FB0" w:rsidRPr="00FF0ACA" w:rsidRDefault="00ED1FB0" w:rsidP="00ED1FB0"/>
    <w:p w14:paraId="3726BA11" w14:textId="77777777" w:rsidR="00ED1FB0" w:rsidRPr="00FF0ACA" w:rsidRDefault="00ED1FB0" w:rsidP="00ED1FB0">
      <w:r w:rsidRPr="00FF0ACA">
        <w:t xml:space="preserve">Regionstyrelsen har antagit principer för när internräntan bör justeras. Gränsvärdet för justering av internräntan beräknas brytas först kring årsskiftet 2024/2025 varpå regionstyrelsen har beslutat om oförändrad internränta till 2,0 procent för 2025. Det mesta tyder på att en internräntejustering sannolikt kommer att behöva göras inför budget 2026. </w:t>
      </w:r>
    </w:p>
    <w:p w14:paraId="63BCE009" w14:textId="77777777" w:rsidR="00ED1FB0" w:rsidRPr="00FF0ACA" w:rsidRDefault="00ED1FB0" w:rsidP="00ED1FB0"/>
    <w:p w14:paraId="5FEBAC82" w14:textId="77777777" w:rsidR="00ED1FB0" w:rsidRPr="00FF0ACA" w:rsidRDefault="00ED1FB0" w:rsidP="00ED1FB0">
      <w:r w:rsidRPr="00FF0ACA">
        <w:t>Internräntan används för beräkning av kapitalkostnaderna och påverkar den interna hyresprissättningen, vilket innebär att hyrorna i budget 2025 är beräknade utifrån 2,0 procents internränta.</w:t>
      </w:r>
    </w:p>
    <w:p w14:paraId="6F45DF00" w14:textId="77777777" w:rsidR="00ED1FB0" w:rsidRPr="00886B27" w:rsidRDefault="00ED1FB0" w:rsidP="00ED1FB0">
      <w:pPr>
        <w:rPr>
          <w:szCs w:val="22"/>
        </w:rPr>
      </w:pPr>
    </w:p>
    <w:p w14:paraId="6688F2CA" w14:textId="77777777" w:rsidR="00ED1FB0" w:rsidRPr="00E56955" w:rsidRDefault="00ED1FB0" w:rsidP="00ED1FB0">
      <w:pPr>
        <w:pStyle w:val="Ingetavstnd"/>
        <w:rPr>
          <w:rFonts w:ascii="Public Sans" w:hAnsi="Public Sans"/>
          <w:sz w:val="22"/>
          <w:szCs w:val="22"/>
        </w:rPr>
      </w:pPr>
      <w:r w:rsidRPr="00E56955">
        <w:rPr>
          <w:rFonts w:ascii="Public Sans" w:hAnsi="Public Sans"/>
          <w:sz w:val="22"/>
          <w:szCs w:val="22"/>
        </w:rPr>
        <w:t>Intäkter</w:t>
      </w:r>
    </w:p>
    <w:p w14:paraId="2ED72FE3" w14:textId="77777777" w:rsidR="00ED1FB0" w:rsidRPr="00FF0ACA" w:rsidRDefault="00ED1FB0" w:rsidP="00ED1FB0">
      <w:r w:rsidRPr="00FF0ACA">
        <w:t>Regionfastigheters prismodeller är hyresmodellen med varmhyra och fastighetsdriftens försäljning av verksamhetstekniska tjänster samt debitering av tid för projektverksamheten.</w:t>
      </w:r>
    </w:p>
    <w:p w14:paraId="1054DEA6" w14:textId="77777777" w:rsidR="00ED1FB0" w:rsidRPr="00FF0ACA" w:rsidRDefault="00ED1FB0" w:rsidP="00ED1FB0"/>
    <w:p w14:paraId="22EE4F36" w14:textId="77777777" w:rsidR="00ED1FB0" w:rsidRPr="00FF0ACA" w:rsidRDefault="00ED1FB0" w:rsidP="00ED1FB0">
      <w:r w:rsidRPr="00FF0ACA">
        <w:t xml:space="preserve">Den totala omsättningen för 2025 beräknas uppgå till 4 237 miljoner kronor, jämfört med 3 868 miljoner kronor i föregående </w:t>
      </w:r>
      <w:proofErr w:type="gramStart"/>
      <w:r w:rsidRPr="00FF0ACA">
        <w:t>års budget</w:t>
      </w:r>
      <w:proofErr w:type="gramEnd"/>
      <w:r w:rsidRPr="00FF0ACA">
        <w:t>. Hyresintäkterna utgör 83% procent av omsättningen.</w:t>
      </w:r>
    </w:p>
    <w:p w14:paraId="2B619A58" w14:textId="77777777" w:rsidR="00ED1FB0" w:rsidRPr="00886B27" w:rsidRDefault="00ED1FB0" w:rsidP="00ED1FB0">
      <w:pPr>
        <w:rPr>
          <w:szCs w:val="22"/>
        </w:rPr>
      </w:pPr>
    </w:p>
    <w:p w14:paraId="5A6ADFA2" w14:textId="77777777" w:rsidR="00ED1FB0" w:rsidRPr="00E56955" w:rsidRDefault="00ED1FB0" w:rsidP="00ED1FB0">
      <w:pPr>
        <w:pStyle w:val="Ingetavstnd"/>
        <w:rPr>
          <w:rFonts w:ascii="Public Sans" w:hAnsi="Public Sans"/>
          <w:sz w:val="22"/>
          <w:szCs w:val="22"/>
        </w:rPr>
      </w:pPr>
      <w:r w:rsidRPr="00E56955">
        <w:rPr>
          <w:rFonts w:ascii="Public Sans" w:hAnsi="Public Sans"/>
          <w:sz w:val="22"/>
          <w:szCs w:val="22"/>
        </w:rPr>
        <w:t>Kostnader</w:t>
      </w:r>
    </w:p>
    <w:p w14:paraId="5112367F" w14:textId="77777777" w:rsidR="00ED1FB0" w:rsidRPr="00FF0ACA" w:rsidRDefault="00ED1FB0" w:rsidP="00ED1FB0">
      <w:r w:rsidRPr="00FF0ACA">
        <w:t xml:space="preserve">De totala kostnaderna för 2025 är budgeterade till 4 237 miljoner kronor, vilket är en ökning med 369 miljoner kronor jämfört med förra årets budget. </w:t>
      </w:r>
    </w:p>
    <w:p w14:paraId="42C18E83" w14:textId="77777777" w:rsidR="00ED1FB0" w:rsidRPr="00FF0ACA" w:rsidRDefault="00ED1FB0" w:rsidP="00ED1FB0"/>
    <w:p w14:paraId="16851268" w14:textId="77777777" w:rsidR="00ED1FB0" w:rsidRPr="00FF0ACA" w:rsidRDefault="00ED1FB0" w:rsidP="00ED1FB0">
      <w:pPr>
        <w:rPr>
          <w:i/>
          <w:iCs/>
        </w:rPr>
      </w:pPr>
      <w:r w:rsidRPr="00FF0ACA">
        <w:rPr>
          <w:i/>
          <w:iCs/>
        </w:rPr>
        <w:t>Tabell kostnadsförändringar (minustecken avser minskning)</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260"/>
      </w:tblGrid>
      <w:tr w:rsidR="00ED1FB0" w:rsidRPr="00FF0ACA" w14:paraId="634F5CB3" w14:textId="77777777" w:rsidTr="008171FE">
        <w:tc>
          <w:tcPr>
            <w:tcW w:w="3256" w:type="dxa"/>
            <w:tcBorders>
              <w:top w:val="single" w:sz="4" w:space="0" w:color="auto"/>
              <w:bottom w:val="single" w:sz="4" w:space="0" w:color="auto"/>
            </w:tcBorders>
          </w:tcPr>
          <w:p w14:paraId="0A1FD8F5" w14:textId="77777777" w:rsidR="00ED1FB0" w:rsidRPr="00FF0ACA" w:rsidRDefault="00ED1FB0" w:rsidP="008171FE">
            <w:pPr>
              <w:rPr>
                <w:b/>
                <w:bCs/>
              </w:rPr>
            </w:pPr>
          </w:p>
          <w:p w14:paraId="02D2D2D3" w14:textId="77777777" w:rsidR="00ED1FB0" w:rsidRPr="00FF0ACA" w:rsidRDefault="00ED1FB0" w:rsidP="008171FE">
            <w:pPr>
              <w:rPr>
                <w:b/>
                <w:bCs/>
              </w:rPr>
            </w:pPr>
            <w:r w:rsidRPr="00FF0ACA">
              <w:rPr>
                <w:b/>
                <w:bCs/>
              </w:rPr>
              <w:t>Kostnad, mkr</w:t>
            </w:r>
          </w:p>
        </w:tc>
        <w:tc>
          <w:tcPr>
            <w:tcW w:w="3260" w:type="dxa"/>
            <w:tcBorders>
              <w:top w:val="single" w:sz="4" w:space="0" w:color="auto"/>
              <w:bottom w:val="single" w:sz="4" w:space="0" w:color="auto"/>
            </w:tcBorders>
          </w:tcPr>
          <w:p w14:paraId="6CEE9562" w14:textId="77777777" w:rsidR="00ED1FB0" w:rsidRPr="00FF0ACA" w:rsidRDefault="00ED1FB0" w:rsidP="008171FE">
            <w:pPr>
              <w:jc w:val="center"/>
              <w:rPr>
                <w:b/>
                <w:bCs/>
              </w:rPr>
            </w:pPr>
            <w:r w:rsidRPr="00FF0ACA">
              <w:rPr>
                <w:b/>
                <w:bCs/>
              </w:rPr>
              <w:t>Förändring mellan</w:t>
            </w:r>
          </w:p>
          <w:p w14:paraId="17E5BB4E" w14:textId="77777777" w:rsidR="00ED1FB0" w:rsidRPr="00FF0ACA" w:rsidRDefault="00ED1FB0" w:rsidP="008171FE">
            <w:pPr>
              <w:jc w:val="center"/>
              <w:rPr>
                <w:b/>
                <w:bCs/>
              </w:rPr>
            </w:pPr>
            <w:r w:rsidRPr="00FF0ACA">
              <w:rPr>
                <w:b/>
                <w:bCs/>
              </w:rPr>
              <w:t>budget 2024 – budget 2025</w:t>
            </w:r>
          </w:p>
        </w:tc>
      </w:tr>
      <w:tr w:rsidR="00ED1FB0" w:rsidRPr="00FF0ACA" w14:paraId="7435B480" w14:textId="77777777" w:rsidTr="008171FE">
        <w:tc>
          <w:tcPr>
            <w:tcW w:w="3256" w:type="dxa"/>
            <w:tcBorders>
              <w:top w:val="single" w:sz="4" w:space="0" w:color="auto"/>
            </w:tcBorders>
          </w:tcPr>
          <w:p w14:paraId="76A43629" w14:textId="77777777" w:rsidR="00ED1FB0" w:rsidRPr="00FF0ACA" w:rsidRDefault="00ED1FB0" w:rsidP="008171FE">
            <w:r w:rsidRPr="00FF0ACA">
              <w:t>Kapitalkostnad</w:t>
            </w:r>
          </w:p>
        </w:tc>
        <w:tc>
          <w:tcPr>
            <w:tcW w:w="3260" w:type="dxa"/>
            <w:tcBorders>
              <w:top w:val="single" w:sz="4" w:space="0" w:color="auto"/>
            </w:tcBorders>
          </w:tcPr>
          <w:p w14:paraId="14BEBBC2" w14:textId="77777777" w:rsidR="00ED1FB0" w:rsidRPr="00FF0ACA" w:rsidRDefault="00ED1FB0" w:rsidP="008171FE">
            <w:pPr>
              <w:jc w:val="right"/>
            </w:pPr>
            <w:r w:rsidRPr="00FF0ACA">
              <w:t>211,2</w:t>
            </w:r>
          </w:p>
        </w:tc>
      </w:tr>
      <w:tr w:rsidR="00ED1FB0" w:rsidRPr="00FF0ACA" w14:paraId="11EA8327" w14:textId="77777777" w:rsidTr="008171FE">
        <w:tc>
          <w:tcPr>
            <w:tcW w:w="3256" w:type="dxa"/>
          </w:tcPr>
          <w:p w14:paraId="4B5A8717" w14:textId="77777777" w:rsidR="00ED1FB0" w:rsidRPr="00FF0ACA" w:rsidRDefault="00ED1FB0" w:rsidP="008171FE">
            <w:r w:rsidRPr="00FF0ACA">
              <w:t>Övriga kostnader och bidrag</w:t>
            </w:r>
          </w:p>
        </w:tc>
        <w:tc>
          <w:tcPr>
            <w:tcW w:w="3260" w:type="dxa"/>
          </w:tcPr>
          <w:p w14:paraId="6AFD491B" w14:textId="77777777" w:rsidR="00ED1FB0" w:rsidRPr="00FF0ACA" w:rsidRDefault="00ED1FB0" w:rsidP="008171FE">
            <w:pPr>
              <w:jc w:val="right"/>
            </w:pPr>
            <w:r w:rsidRPr="00FF0ACA">
              <w:t>126,0</w:t>
            </w:r>
          </w:p>
        </w:tc>
      </w:tr>
      <w:tr w:rsidR="00ED1FB0" w:rsidRPr="00FF0ACA" w14:paraId="14EC4715" w14:textId="77777777" w:rsidTr="008171FE">
        <w:tc>
          <w:tcPr>
            <w:tcW w:w="3256" w:type="dxa"/>
          </w:tcPr>
          <w:p w14:paraId="6CB629D6" w14:textId="77777777" w:rsidR="00ED1FB0" w:rsidRPr="00FF0ACA" w:rsidRDefault="00ED1FB0" w:rsidP="008171FE">
            <w:r w:rsidRPr="00FF0ACA">
              <w:t>Personalkostnad</w:t>
            </w:r>
          </w:p>
        </w:tc>
        <w:tc>
          <w:tcPr>
            <w:tcW w:w="3260" w:type="dxa"/>
          </w:tcPr>
          <w:p w14:paraId="236FD933" w14:textId="77777777" w:rsidR="00ED1FB0" w:rsidRPr="00FF0ACA" w:rsidRDefault="00ED1FB0" w:rsidP="008171FE">
            <w:pPr>
              <w:jc w:val="right"/>
            </w:pPr>
            <w:r w:rsidRPr="00FF0ACA">
              <w:t>21,9</w:t>
            </w:r>
          </w:p>
        </w:tc>
      </w:tr>
      <w:tr w:rsidR="00ED1FB0" w:rsidRPr="00FF0ACA" w14:paraId="6182EB2E" w14:textId="77777777" w:rsidTr="008171FE">
        <w:tc>
          <w:tcPr>
            <w:tcW w:w="3256" w:type="dxa"/>
          </w:tcPr>
          <w:p w14:paraId="476FA408" w14:textId="77777777" w:rsidR="00ED1FB0" w:rsidRPr="00FF0ACA" w:rsidRDefault="00ED1FB0" w:rsidP="008171FE">
            <w:r w:rsidRPr="00FF0ACA">
              <w:t>Lokalkostnad</w:t>
            </w:r>
          </w:p>
        </w:tc>
        <w:tc>
          <w:tcPr>
            <w:tcW w:w="3260" w:type="dxa"/>
          </w:tcPr>
          <w:p w14:paraId="20F4919D" w14:textId="77777777" w:rsidR="00ED1FB0" w:rsidRPr="00FF0ACA" w:rsidRDefault="00ED1FB0" w:rsidP="008171FE">
            <w:pPr>
              <w:jc w:val="right"/>
            </w:pPr>
            <w:r w:rsidRPr="00FF0ACA">
              <w:t>13,9</w:t>
            </w:r>
          </w:p>
        </w:tc>
      </w:tr>
      <w:tr w:rsidR="00ED1FB0" w:rsidRPr="00FF0ACA" w14:paraId="192E733F" w14:textId="77777777" w:rsidTr="008171FE">
        <w:tc>
          <w:tcPr>
            <w:tcW w:w="3256" w:type="dxa"/>
          </w:tcPr>
          <w:p w14:paraId="768537EC" w14:textId="77777777" w:rsidR="00ED1FB0" w:rsidRPr="00FF0ACA" w:rsidRDefault="00ED1FB0" w:rsidP="008171FE">
            <w:r w:rsidRPr="00FF0ACA">
              <w:t>Media</w:t>
            </w:r>
          </w:p>
        </w:tc>
        <w:tc>
          <w:tcPr>
            <w:tcW w:w="3260" w:type="dxa"/>
          </w:tcPr>
          <w:p w14:paraId="6FBF4E5F" w14:textId="77777777" w:rsidR="00ED1FB0" w:rsidRPr="00FF0ACA" w:rsidRDefault="00ED1FB0" w:rsidP="008171FE">
            <w:pPr>
              <w:jc w:val="right"/>
            </w:pPr>
            <w:r w:rsidRPr="00FF0ACA">
              <w:t>-3,8</w:t>
            </w:r>
          </w:p>
        </w:tc>
      </w:tr>
      <w:tr w:rsidR="00ED1FB0" w:rsidRPr="00FF0ACA" w14:paraId="3C9CE5E7" w14:textId="77777777" w:rsidTr="008171FE">
        <w:tc>
          <w:tcPr>
            <w:tcW w:w="3256" w:type="dxa"/>
            <w:tcBorders>
              <w:top w:val="single" w:sz="4" w:space="0" w:color="auto"/>
              <w:bottom w:val="single" w:sz="4" w:space="0" w:color="auto"/>
            </w:tcBorders>
          </w:tcPr>
          <w:p w14:paraId="2607FE8C" w14:textId="77777777" w:rsidR="00ED1FB0" w:rsidRPr="00FF0ACA" w:rsidRDefault="00ED1FB0" w:rsidP="008171FE">
            <w:pPr>
              <w:rPr>
                <w:b/>
                <w:bCs/>
              </w:rPr>
            </w:pPr>
            <w:r w:rsidRPr="00FF0ACA">
              <w:rPr>
                <w:b/>
                <w:bCs/>
              </w:rPr>
              <w:t>TOTAL</w:t>
            </w:r>
          </w:p>
        </w:tc>
        <w:tc>
          <w:tcPr>
            <w:tcW w:w="3260" w:type="dxa"/>
            <w:tcBorders>
              <w:top w:val="single" w:sz="4" w:space="0" w:color="auto"/>
              <w:bottom w:val="single" w:sz="4" w:space="0" w:color="auto"/>
            </w:tcBorders>
          </w:tcPr>
          <w:p w14:paraId="1BBCFF5A" w14:textId="77777777" w:rsidR="00ED1FB0" w:rsidRPr="00FF0ACA" w:rsidRDefault="00ED1FB0" w:rsidP="008171FE">
            <w:pPr>
              <w:jc w:val="right"/>
              <w:rPr>
                <w:b/>
                <w:bCs/>
              </w:rPr>
            </w:pPr>
            <w:r w:rsidRPr="00FF0ACA">
              <w:rPr>
                <w:b/>
                <w:bCs/>
              </w:rPr>
              <w:t>369,2</w:t>
            </w:r>
          </w:p>
        </w:tc>
      </w:tr>
    </w:tbl>
    <w:p w14:paraId="6A2CB053" w14:textId="77777777" w:rsidR="00ED1FB0" w:rsidRPr="00FF0ACA" w:rsidRDefault="00ED1FB0" w:rsidP="00ED1FB0"/>
    <w:p w14:paraId="4F753F16" w14:textId="77777777" w:rsidR="00ED1FB0" w:rsidRPr="00FF0ACA" w:rsidRDefault="00ED1FB0" w:rsidP="00ED1FB0">
      <w:r w:rsidRPr="00C532DE">
        <w:rPr>
          <w:i/>
          <w:iCs/>
        </w:rPr>
        <w:t>Kapitalkostnader</w:t>
      </w:r>
      <w:r w:rsidRPr="00FF0ACA">
        <w:rPr>
          <w:i/>
          <w:iCs/>
        </w:rPr>
        <w:t xml:space="preserve"> </w:t>
      </w:r>
      <w:r w:rsidRPr="00FF0ACA">
        <w:t xml:space="preserve">Utvecklingsinsatserna som Region Skåne gör på flera sjukhusområden innebär kraftigt ökade kapitalkostnader i takt med att investeringarna aktiveras och verksamheterna flyttar in i lokalerna. De största ökningarna i budget 2025 står de nya vårdbyggnaderna i Malmö för. Den första vårdbyggnaden aktiverades efter sommaren 2024 och innebär helårseffekt 2025 medan den andra </w:t>
      </w:r>
      <w:r w:rsidRPr="00FF0ACA">
        <w:lastRenderedPageBreak/>
        <w:t xml:space="preserve">vårdbyggnaden ger delårseffekt med beräknad aktivering i oktober 2025. </w:t>
      </w:r>
    </w:p>
    <w:p w14:paraId="60020E26" w14:textId="77777777" w:rsidR="00ED1FB0" w:rsidRPr="00FF0ACA" w:rsidRDefault="00ED1FB0" w:rsidP="00ED1FB0"/>
    <w:p w14:paraId="49E5BBDE" w14:textId="77777777" w:rsidR="00ED1FB0" w:rsidRPr="00FF0ACA" w:rsidRDefault="00ED1FB0" w:rsidP="00ED1FB0">
      <w:r w:rsidRPr="00FF0ACA">
        <w:t xml:space="preserve">Inom posten </w:t>
      </w:r>
      <w:r w:rsidRPr="00FF0ACA">
        <w:rPr>
          <w:i/>
          <w:iCs/>
        </w:rPr>
        <w:t>övriga kostnader och bidrag</w:t>
      </w:r>
      <w:r w:rsidRPr="00FF0ACA">
        <w:t xml:space="preserve"> ingår bland annat ökade kostnader för fastighetsdrift och verksamhetstekniska tjänster kopplat till volymförändringar enligt tidigare års beställningar och utfall. Det ingår även andra kostnadsökningar som till stor del är resultatneutrala för Regionfastigheter, det avser tjänster som vidarefaktureras till verksamheterna. </w:t>
      </w:r>
    </w:p>
    <w:p w14:paraId="0D651B5A" w14:textId="77777777" w:rsidR="00ED1FB0" w:rsidRPr="00FF0ACA" w:rsidRDefault="00ED1FB0" w:rsidP="00ED1FB0">
      <w:pPr>
        <w:rPr>
          <w:i/>
          <w:iCs/>
        </w:rPr>
      </w:pPr>
    </w:p>
    <w:p w14:paraId="7AD70E27" w14:textId="77777777" w:rsidR="00ED1FB0" w:rsidRPr="00FF0ACA" w:rsidRDefault="00ED1FB0" w:rsidP="00ED1FB0">
      <w:r w:rsidRPr="00FF0ACA">
        <w:t xml:space="preserve">I </w:t>
      </w:r>
      <w:r w:rsidRPr="00FF0ACA">
        <w:rPr>
          <w:i/>
          <w:iCs/>
        </w:rPr>
        <w:t>personalkostnaderna</w:t>
      </w:r>
      <w:r w:rsidRPr="00FF0ACA">
        <w:t xml:space="preserve"> ingår en uppräkning av lönekostnaderna med 3,0%. Hänsyn är även tagen till att det pågår aktivt arbete med att ersätta konsulter med egen personal, behov av att bemanna projekt samt att </w:t>
      </w:r>
      <w:r>
        <w:t>lokalytorna</w:t>
      </w:r>
      <w:r w:rsidRPr="00FF0ACA">
        <w:t xml:space="preserve"> som ska </w:t>
      </w:r>
      <w:r>
        <w:t>förvaltas och underhållas</w:t>
      </w:r>
      <w:r w:rsidRPr="00FF0ACA">
        <w:t xml:space="preserve"> ökar när nya byggnader blir klara.</w:t>
      </w:r>
    </w:p>
    <w:p w14:paraId="2746F2CB" w14:textId="77777777" w:rsidR="00ED1FB0" w:rsidRPr="00FF0ACA" w:rsidRDefault="00ED1FB0" w:rsidP="00ED1FB0"/>
    <w:p w14:paraId="67DD1CB3" w14:textId="77777777" w:rsidR="00ED1FB0" w:rsidRPr="00FF0ACA" w:rsidRDefault="00ED1FB0" w:rsidP="00ED1FB0">
      <w:r w:rsidRPr="00FF0ACA">
        <w:rPr>
          <w:i/>
          <w:iCs/>
        </w:rPr>
        <w:t>Lokalkostnader</w:t>
      </w:r>
      <w:r w:rsidRPr="00FF0ACA">
        <w:t xml:space="preserve"> för externa lokaler räknas upp med index som baseras på </w:t>
      </w:r>
      <w:r>
        <w:t xml:space="preserve">konsumentprisindex, </w:t>
      </w:r>
      <w:r w:rsidRPr="00FF0ACA">
        <w:t>KPI</w:t>
      </w:r>
      <w:r>
        <w:t>,</w:t>
      </w:r>
      <w:r w:rsidRPr="00FF0ACA">
        <w:t xml:space="preserve"> i oktober föregående år. Inflationstakten är fortsatt hög men har avtagit jämfört med tidigare år. I budget 2025 har index antagits till 4,5 procent. Hänsyn har även tagits till den indexökning som påverkar innevarande </w:t>
      </w:r>
      <w:proofErr w:type="gramStart"/>
      <w:r w:rsidRPr="00FF0ACA">
        <w:t>års hyror</w:t>
      </w:r>
      <w:proofErr w:type="gramEnd"/>
      <w:r w:rsidRPr="00FF0ACA">
        <w:t xml:space="preserve"> och som det inte tagits tillräcklig höjd för i årets budget.</w:t>
      </w:r>
    </w:p>
    <w:p w14:paraId="28A2FFC2" w14:textId="77777777" w:rsidR="00ED1FB0" w:rsidRPr="00FF0ACA" w:rsidRDefault="00ED1FB0" w:rsidP="00ED1FB0"/>
    <w:p w14:paraId="103A6B34" w14:textId="77777777" w:rsidR="00ED1FB0" w:rsidRPr="00FF0ACA" w:rsidRDefault="00ED1FB0" w:rsidP="00ED1FB0">
      <w:r w:rsidRPr="00FF0ACA">
        <w:rPr>
          <w:i/>
          <w:iCs/>
        </w:rPr>
        <w:t>Media</w:t>
      </w:r>
      <w:r w:rsidRPr="00FF0ACA">
        <w:t xml:space="preserve"> Budgeterad förbrukning och volym för år 2025 utgörs av </w:t>
      </w:r>
      <w:proofErr w:type="spellStart"/>
      <w:r w:rsidRPr="00FF0ACA">
        <w:t>klimatkorrigerat</w:t>
      </w:r>
      <w:proofErr w:type="spellEnd"/>
      <w:r w:rsidRPr="00FF0ACA">
        <w:t xml:space="preserve"> utfall för 2023 med justering för kända tillkommande samt frångående förvaltningsobjekt, byggnader och abonnemang samt energieffektiviseringar. Efter kraftig prisutveckling under några år har elkostnaderna stabiliserats under 2023 och förväntas ligga kvar på denna nivå</w:t>
      </w:r>
      <w:r>
        <w:t>. Leverantörerna</w:t>
      </w:r>
      <w:r w:rsidRPr="00FF0ACA">
        <w:t xml:space="preserve"> har aviserat att värmekostnaderna kommer </w:t>
      </w:r>
      <w:r>
        <w:t xml:space="preserve">fortsätta </w:t>
      </w:r>
      <w:r w:rsidRPr="00FF0ACA">
        <w:t>att öka</w:t>
      </w:r>
      <w:r>
        <w:t>,</w:t>
      </w:r>
      <w:r w:rsidRPr="00FF0ACA">
        <w:t xml:space="preserve"> dock inte i samma takt som tidigare år.</w:t>
      </w:r>
    </w:p>
    <w:p w14:paraId="2C2F666F" w14:textId="77777777" w:rsidR="00ED1FB0" w:rsidRPr="00FF0ACA" w:rsidRDefault="00ED1FB0" w:rsidP="00ED1FB0"/>
    <w:p w14:paraId="3179812C" w14:textId="77777777" w:rsidR="00ED1FB0" w:rsidRPr="00886B27" w:rsidRDefault="00ED1FB0" w:rsidP="00ED1FB0">
      <w:pPr>
        <w:rPr>
          <w:szCs w:val="22"/>
        </w:rPr>
      </w:pPr>
      <w:r w:rsidRPr="00FF0ACA">
        <w:t>Nedanstående diagram visar fördelning mellan olika kostnader:</w:t>
      </w:r>
    </w:p>
    <w:p w14:paraId="1D5D4E74" w14:textId="77777777" w:rsidR="00ED1FB0" w:rsidRPr="00886B27" w:rsidRDefault="00ED1FB0" w:rsidP="00ED1FB0">
      <w:pPr>
        <w:ind w:hanging="284"/>
        <w:rPr>
          <w:szCs w:val="22"/>
        </w:rPr>
      </w:pPr>
      <w:r w:rsidRPr="00FF0ACA">
        <w:rPr>
          <w:noProof/>
          <w:szCs w:val="22"/>
          <w:lang w:eastAsia="sv-SE"/>
        </w:rPr>
        <w:lastRenderedPageBreak/>
        <w:drawing>
          <wp:inline distT="0" distB="0" distL="0" distR="0" wp14:anchorId="6525E6B0" wp14:editId="7A0FD017">
            <wp:extent cx="5181600" cy="2991833"/>
            <wp:effectExtent l="0" t="0" r="0" b="0"/>
            <wp:docPr id="19102296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4920" cy="2999524"/>
                    </a:xfrm>
                    <a:prstGeom prst="rect">
                      <a:avLst/>
                    </a:prstGeom>
                    <a:noFill/>
                  </pic:spPr>
                </pic:pic>
              </a:graphicData>
            </a:graphic>
          </wp:inline>
        </w:drawing>
      </w:r>
    </w:p>
    <w:p w14:paraId="1F9766F9" w14:textId="77777777" w:rsidR="00ED1FB0" w:rsidRPr="00FF0ACA" w:rsidRDefault="00ED1FB0" w:rsidP="00ED1FB0">
      <w:pPr>
        <w:rPr>
          <w:szCs w:val="22"/>
        </w:rPr>
      </w:pPr>
    </w:p>
    <w:p w14:paraId="0E562618" w14:textId="77777777" w:rsidR="00ED1FB0" w:rsidRPr="00FF0ACA" w:rsidRDefault="00ED1FB0" w:rsidP="00ED1FB0">
      <w:pPr>
        <w:pStyle w:val="Ingetavstnd"/>
        <w:rPr>
          <w:rFonts w:ascii="Public Sans" w:hAnsi="Public Sans"/>
          <w:sz w:val="22"/>
          <w:szCs w:val="22"/>
        </w:rPr>
      </w:pPr>
      <w:r w:rsidRPr="00FF0ACA">
        <w:rPr>
          <w:rFonts w:ascii="Public Sans" w:hAnsi="Public Sans"/>
          <w:sz w:val="22"/>
          <w:szCs w:val="22"/>
        </w:rPr>
        <w:t>Besparingskrav</w:t>
      </w:r>
    </w:p>
    <w:p w14:paraId="1A000CB6" w14:textId="77777777" w:rsidR="00ED1FB0" w:rsidRPr="00FF0ACA" w:rsidRDefault="00ED1FB0" w:rsidP="00ED1FB0">
      <w:r w:rsidRPr="00FF0ACA">
        <w:t xml:space="preserve">Besparingskravet för Regionfastigheter 2025 uppgår till 58,0 miljoner kronor. </w:t>
      </w:r>
      <w:r>
        <w:t>I budgeten</w:t>
      </w:r>
      <w:r w:rsidRPr="00FF0ACA">
        <w:t xml:space="preserve"> belastar besparingen förvaltningen centralt</w:t>
      </w:r>
      <w:r>
        <w:t>,</w:t>
      </w:r>
      <w:r w:rsidRPr="00FF0ACA">
        <w:t xml:space="preserve"> det vill säga det fördelas inte ut till verksamhetsområdena. En beredningsgrupp är tillsatt med uppdrag att ge förslag på kostnadseffektiviserande åtgärder som kommer att utgöra underlag till handlingsplanen för en ekonomi i balans. Det är fokus på strukturella förändringar och ständiga förbättringar som ger effekt även långsiktigt. Åtgärder och besparingskrav fördelas ut till verksamhetsområdena efter hand som de beslutas. I sista hand kan en generell besparing bli nödvändig och behöva fördelas ut för att nå besparingskravet 2025. Detta är också beroende </w:t>
      </w:r>
      <w:r>
        <w:t>av</w:t>
      </w:r>
      <w:r w:rsidRPr="00FF0ACA">
        <w:t xml:space="preserve"> andra händelser under året som kan påverka resultatet positivt eller negativt. Handlingsplanen kommer att följas upp och återrapporteras under året.</w:t>
      </w:r>
    </w:p>
    <w:p w14:paraId="0EF4591E" w14:textId="77777777" w:rsidR="00ED1FB0" w:rsidRPr="00886B27" w:rsidRDefault="00ED1FB0" w:rsidP="00ED1FB0">
      <w:pPr>
        <w:spacing w:after="240"/>
        <w:rPr>
          <w:szCs w:val="22"/>
        </w:rPr>
      </w:pPr>
      <w:r w:rsidRPr="00886B27">
        <w:rPr>
          <w:szCs w:val="22"/>
        </w:rPr>
        <w:br w:type="page"/>
      </w:r>
    </w:p>
    <w:p w14:paraId="4F0B93D0" w14:textId="77777777" w:rsidR="00ED1FB0" w:rsidRPr="00A30A5F" w:rsidRDefault="00ED1FB0" w:rsidP="00ED1FB0">
      <w:pPr>
        <w:pStyle w:val="Rubrik1"/>
        <w:rPr>
          <w:rFonts w:ascii="Public Sans" w:hAnsi="Public Sans"/>
        </w:rPr>
      </w:pPr>
      <w:bookmarkStart w:id="9" w:name="_Toc184195020"/>
      <w:r w:rsidRPr="00A30A5F">
        <w:rPr>
          <w:rFonts w:ascii="Public Sans" w:hAnsi="Public Sans"/>
        </w:rPr>
        <w:lastRenderedPageBreak/>
        <w:t>Regionservice</w:t>
      </w:r>
      <w:bookmarkEnd w:id="9"/>
    </w:p>
    <w:p w14:paraId="0A326A15" w14:textId="77777777" w:rsidR="00ED1FB0" w:rsidRPr="00A30A5F" w:rsidRDefault="00ED1FB0" w:rsidP="00ED1FB0">
      <w:pPr>
        <w:pStyle w:val="Rubrik2"/>
        <w:rPr>
          <w:rFonts w:ascii="Public Sans" w:hAnsi="Public Sans"/>
        </w:rPr>
      </w:pPr>
      <w:bookmarkStart w:id="10" w:name="_Toc184195021"/>
      <w:bookmarkStart w:id="11" w:name="_Toc148775388"/>
      <w:r w:rsidRPr="00A30A5F">
        <w:rPr>
          <w:rFonts w:ascii="Public Sans" w:hAnsi="Public Sans"/>
        </w:rPr>
        <w:t>Regionservice uppdrag</w:t>
      </w:r>
      <w:bookmarkEnd w:id="10"/>
    </w:p>
    <w:p w14:paraId="4B1C6119" w14:textId="77777777" w:rsidR="00ED1FB0" w:rsidRPr="00013952" w:rsidRDefault="00ED1FB0" w:rsidP="00ED1FB0">
      <w:pPr>
        <w:rPr>
          <w:rFonts w:eastAsia="Times New Roman" w:cs="Times New Roman"/>
        </w:rPr>
      </w:pPr>
      <w:bookmarkStart w:id="12" w:name="_Toc148775389"/>
      <w:bookmarkEnd w:id="11"/>
      <w:r w:rsidRPr="00013952">
        <w:rPr>
          <w:rFonts w:eastAsia="Times New Roman" w:cs="Times New Roman"/>
        </w:rPr>
        <w:t>Regionservice uppdrag är att tillhandahålla ändamålsenliga och effektiva servicetjänster som frigör tid för Region Skånes verksamheter. Förvaltningen tillhandahåller professionella servicelösningar till den skånska hälso- och sjukvården; varje dag levereras tjänster inom en mängd olika serviceområden såsom måltider, lokalvård, textil, transporter, materialförsörjning och administrativa tjänster inom ekonomi- och HR-området.</w:t>
      </w:r>
    </w:p>
    <w:p w14:paraId="1AC5E223" w14:textId="77777777" w:rsidR="00ED1FB0" w:rsidRPr="00013952" w:rsidRDefault="00ED1FB0" w:rsidP="00ED1FB0">
      <w:pPr>
        <w:rPr>
          <w:rFonts w:eastAsia="Times New Roman" w:cs="Times New Roman"/>
        </w:rPr>
      </w:pPr>
    </w:p>
    <w:p w14:paraId="34811B54" w14:textId="77777777" w:rsidR="00ED1FB0" w:rsidRPr="00013952" w:rsidRDefault="00ED1FB0" w:rsidP="00ED1FB0">
      <w:pPr>
        <w:rPr>
          <w:rFonts w:eastAsia="Times New Roman" w:cs="Times New Roman"/>
        </w:rPr>
      </w:pPr>
      <w:r w:rsidRPr="00013952">
        <w:rPr>
          <w:rFonts w:eastAsia="Times New Roman" w:cs="Times New Roman"/>
        </w:rPr>
        <w:t xml:space="preserve">Regionservice tjänster ska utgå från hälso- och sjukvårdens behov. Utveckling av servicetjänster sker i samarbete med berörda förvaltningar och med gemensamma kompetenser. </w:t>
      </w:r>
    </w:p>
    <w:p w14:paraId="58022B59" w14:textId="77777777" w:rsidR="00ED1FB0" w:rsidRPr="00013952" w:rsidRDefault="00ED1FB0" w:rsidP="00ED1FB0">
      <w:pPr>
        <w:rPr>
          <w:rFonts w:eastAsia="Times New Roman" w:cs="Times New Roman"/>
        </w:rPr>
      </w:pPr>
      <w:r w:rsidRPr="00013952">
        <w:rPr>
          <w:rFonts w:eastAsia="Times New Roman" w:cs="Times New Roman"/>
        </w:rPr>
        <w:t xml:space="preserve">Förvaltningen bidrar till Region Skånes övergripande vision och mål genom förvaltningsmålen självklar tjänstepartner, effektiva servicelösningar, hållbar resursanvändning, välfungerande arbetsplats samt ekonomi i balans. </w:t>
      </w:r>
    </w:p>
    <w:p w14:paraId="6645DA42" w14:textId="77777777" w:rsidR="00ED1FB0" w:rsidRPr="00F31436" w:rsidRDefault="00ED1FB0" w:rsidP="00ED1FB0">
      <w:pPr>
        <w:pStyle w:val="Rubrik2"/>
        <w:rPr>
          <w:rFonts w:ascii="Public Sans" w:hAnsi="Public Sans"/>
        </w:rPr>
      </w:pPr>
      <w:bookmarkStart w:id="13" w:name="_Toc184195022"/>
      <w:r w:rsidRPr="00F31436">
        <w:rPr>
          <w:rFonts w:ascii="Public Sans" w:hAnsi="Public Sans"/>
        </w:rPr>
        <w:t>Övergripande mål för planperioden</w:t>
      </w:r>
      <w:bookmarkEnd w:id="12"/>
      <w:bookmarkEnd w:id="13"/>
    </w:p>
    <w:p w14:paraId="20D30985" w14:textId="77777777" w:rsidR="00ED1FB0" w:rsidRPr="00013952" w:rsidRDefault="00ED1FB0" w:rsidP="00ED1FB0">
      <w:pPr>
        <w:rPr>
          <w:rFonts w:eastAsia="Times New Roman" w:cs="Times New Roman"/>
          <w:szCs w:val="22"/>
        </w:rPr>
      </w:pPr>
      <w:r w:rsidRPr="00013952">
        <w:rPr>
          <w:rFonts w:eastAsia="Times New Roman" w:cs="Times New Roman"/>
          <w:noProof/>
          <w:lang w:eastAsia="sv-SE"/>
        </w:rPr>
        <w:drawing>
          <wp:anchor distT="0" distB="0" distL="114300" distR="114300" simplePos="0" relativeHeight="251661312" behindDoc="1" locked="0" layoutInCell="1" allowOverlap="1" wp14:anchorId="4BAF009C" wp14:editId="13B73D10">
            <wp:simplePos x="0" y="0"/>
            <wp:positionH relativeFrom="column">
              <wp:posOffset>3162300</wp:posOffset>
            </wp:positionH>
            <wp:positionV relativeFrom="paragraph">
              <wp:posOffset>10795</wp:posOffset>
            </wp:positionV>
            <wp:extent cx="2254250" cy="2254250"/>
            <wp:effectExtent l="0" t="0" r="0" b="0"/>
            <wp:wrapTight wrapText="bothSides">
              <wp:wrapPolygon edited="0">
                <wp:start x="9674" y="1460"/>
                <wp:lineTo x="8032" y="2008"/>
                <wp:lineTo x="3833" y="4016"/>
                <wp:lineTo x="3286" y="5659"/>
                <wp:lineTo x="2190" y="7666"/>
                <wp:lineTo x="1643" y="10587"/>
                <wp:lineTo x="2190" y="13508"/>
                <wp:lineTo x="4016" y="16428"/>
                <wp:lineTo x="4198" y="16976"/>
                <wp:lineTo x="8762" y="19349"/>
                <wp:lineTo x="12412" y="19349"/>
                <wp:lineTo x="13325" y="18984"/>
                <wp:lineTo x="17158" y="16793"/>
                <wp:lineTo x="18984" y="13508"/>
                <wp:lineTo x="19714" y="10587"/>
                <wp:lineTo x="19166" y="7666"/>
                <wp:lineTo x="17888" y="5659"/>
                <wp:lineTo x="17523" y="4198"/>
                <wp:lineTo x="13325" y="2008"/>
                <wp:lineTo x="11682" y="1460"/>
                <wp:lineTo x="9674" y="1460"/>
              </wp:wrapPolygon>
            </wp:wrapTight>
            <wp:docPr id="1057200253" name="Bildobjekt 2" descr="En bild som visar text, cirkel,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En bild som visar text, cirkel, skärmbild, Teckensnitt&#10;&#10;Automatiskt genererad beskrivn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0" cy="2254250"/>
                    </a:xfrm>
                    <a:prstGeom prst="rect">
                      <a:avLst/>
                    </a:prstGeom>
                    <a:noFill/>
                  </pic:spPr>
                </pic:pic>
              </a:graphicData>
            </a:graphic>
            <wp14:sizeRelH relativeFrom="page">
              <wp14:pctWidth>0</wp14:pctWidth>
            </wp14:sizeRelH>
            <wp14:sizeRelV relativeFrom="page">
              <wp14:pctHeight>0</wp14:pctHeight>
            </wp14:sizeRelV>
          </wp:anchor>
        </w:drawing>
      </w:r>
      <w:r w:rsidRPr="00013952">
        <w:rPr>
          <w:rFonts w:eastAsia="Times New Roman" w:cs="Times New Roman"/>
          <w:szCs w:val="22"/>
        </w:rPr>
        <w:t xml:space="preserve">För att bidra till Region Skånes vision </w:t>
      </w:r>
      <w:r w:rsidRPr="00013952">
        <w:rPr>
          <w:rFonts w:eastAsia="Times New Roman" w:cs="Times New Roman"/>
          <w:i/>
          <w:iCs/>
          <w:szCs w:val="22"/>
        </w:rPr>
        <w:t>Framtidstro och livskvalitet</w:t>
      </w:r>
      <w:r w:rsidRPr="00013952">
        <w:rPr>
          <w:rFonts w:eastAsia="Times New Roman" w:cs="Times New Roman"/>
          <w:szCs w:val="22"/>
        </w:rPr>
        <w:t xml:space="preserve"> har regionfullmäktige beslutat om fem övergripande mål: Bättre liv och hälsa för fler; Tillgänglighet och kvalitet; Hållbar utveckling i hela Skåne; Attraktiv arbetsgivare och professionell verksamhet samt Långsiktigt stark ekonomi. Region Skånes resurser är medarbetarna, verksamheten och ekonomin. Organisationskulturen utgår från de gemensamma värderingarna; välkomnande, drivande, omtanke och respekt.</w:t>
      </w:r>
    </w:p>
    <w:p w14:paraId="5B20EA3D" w14:textId="77777777" w:rsidR="00ED1FB0" w:rsidRPr="00013952" w:rsidRDefault="00ED1FB0" w:rsidP="00ED1FB0">
      <w:pPr>
        <w:rPr>
          <w:rFonts w:eastAsia="Times New Roman" w:cs="Times New Roman"/>
          <w:szCs w:val="22"/>
        </w:rPr>
      </w:pPr>
    </w:p>
    <w:p w14:paraId="18C70579" w14:textId="77777777" w:rsidR="00ED1FB0" w:rsidRPr="00013952" w:rsidRDefault="00ED1FB0" w:rsidP="00ED1FB0">
      <w:pPr>
        <w:rPr>
          <w:rFonts w:eastAsia="Times New Roman" w:cs="Times New Roman"/>
          <w:szCs w:val="22"/>
        </w:rPr>
      </w:pPr>
      <w:r w:rsidRPr="00013952">
        <w:rPr>
          <w:rFonts w:eastAsia="Times New Roman" w:cs="Times New Roman"/>
          <w:szCs w:val="22"/>
        </w:rPr>
        <w:t xml:space="preserve">Regionservice bidrar till Region Skånes övergripande vision och mål genom att bryta ner de övergripande målen till förvaltningsmål: </w:t>
      </w:r>
      <w:r w:rsidRPr="00013952">
        <w:rPr>
          <w:rFonts w:eastAsia="Times New Roman" w:cs="Times New Roman"/>
          <w:szCs w:val="22"/>
        </w:rPr>
        <w:lastRenderedPageBreak/>
        <w:t>självklar tjänstepartner, effektiva servicelösningar, hållbar resursanvändning, välfungerande arbetsplats samt ekonomi i balans.</w:t>
      </w:r>
    </w:p>
    <w:p w14:paraId="2629A83C" w14:textId="77777777" w:rsidR="00ED1FB0" w:rsidRPr="00013952" w:rsidRDefault="00ED1FB0" w:rsidP="00ED1FB0">
      <w:pPr>
        <w:rPr>
          <w:rFonts w:eastAsia="Times New Roman" w:cs="Times New Roman"/>
          <w:szCs w:val="22"/>
        </w:rPr>
      </w:pPr>
    </w:p>
    <w:p w14:paraId="2727BEE5" w14:textId="77777777" w:rsidR="00ED1FB0" w:rsidRPr="00013952" w:rsidRDefault="00ED1FB0" w:rsidP="00ED1FB0">
      <w:pPr>
        <w:rPr>
          <w:rFonts w:eastAsia="Times New Roman" w:cs="Times New Roman"/>
          <w:szCs w:val="22"/>
        </w:rPr>
      </w:pPr>
      <w:r w:rsidRPr="00013952">
        <w:rPr>
          <w:rFonts w:eastAsia="Times New Roman" w:cs="Times New Roman"/>
          <w:szCs w:val="22"/>
        </w:rPr>
        <w:t>Med anledning av Region Skånes ansträngda ekonomiska situation har regionstyrelsen inför planperioden 2024–2026 beslutat om ett regionalt övergripande omställningsarbete för en ekonomi i balans och en förbättrad kvalitet och effektivitet i verksamheten. Omställningsarbetet har tre övergripande mål: ökad tillgänglighet, säkrad kompetensförsörjning och en god ekonomisk hushållning. Regionservice bidrar till omställningsarbetet genom förvaltningsmålen.</w:t>
      </w:r>
    </w:p>
    <w:p w14:paraId="3AD31A67" w14:textId="77777777" w:rsidR="00ED1FB0" w:rsidRPr="00F31436" w:rsidRDefault="00ED1FB0" w:rsidP="00ED1FB0">
      <w:pPr>
        <w:pStyle w:val="Rubrik2"/>
        <w:rPr>
          <w:rFonts w:ascii="Public Sans" w:hAnsi="Public Sans"/>
        </w:rPr>
      </w:pPr>
      <w:bookmarkStart w:id="14" w:name="_Toc184195023"/>
      <w:r w:rsidRPr="00F31436">
        <w:rPr>
          <w:rFonts w:ascii="Public Sans" w:hAnsi="Public Sans"/>
        </w:rPr>
        <w:t>Självklar tjänstepartner</w:t>
      </w:r>
      <w:bookmarkEnd w:id="14"/>
    </w:p>
    <w:p w14:paraId="4FA8B8A2" w14:textId="77777777" w:rsidR="00ED1FB0" w:rsidRPr="008348E8" w:rsidRDefault="00ED1FB0" w:rsidP="00ED1FB0">
      <w:r>
        <w:t xml:space="preserve">Regionservice tjänster ska bidra till en ökad tillgänglighet i vården genom att frigöra tid för vårdpersonal vad gäller arbetsuppgifter, såväl vårdnära </w:t>
      </w:r>
      <w:r w:rsidRPr="008348E8">
        <w:t xml:space="preserve">som administrativa, som har förutsättningar att utföras av servicemedarbetare. </w:t>
      </w:r>
    </w:p>
    <w:p w14:paraId="16C0092D" w14:textId="77777777" w:rsidR="00ED1FB0" w:rsidRPr="008348E8" w:rsidRDefault="00ED1FB0" w:rsidP="00ED1FB0"/>
    <w:p w14:paraId="602CD385" w14:textId="77777777" w:rsidR="00ED1FB0" w:rsidRDefault="00ED1FB0" w:rsidP="00ED1FB0">
      <w:r w:rsidRPr="008348E8">
        <w:t>Genom förvaltningsmålet självklar tjänstepartner bidrar Regionservice till bättre liv och hälsa för fler. Under planperioden</w:t>
      </w:r>
      <w:r>
        <w:t xml:space="preserve"> kommer förvaltningen att arbeta med u</w:t>
      </w:r>
      <w:r w:rsidRPr="0087395E">
        <w:t>ppgiftsväxling och utveckling av tjänster</w:t>
      </w:r>
      <w:r>
        <w:t xml:space="preserve"> </w:t>
      </w:r>
      <w:r w:rsidRPr="0087395E">
        <w:t>utifrån koncernnytta</w:t>
      </w:r>
      <w:r>
        <w:t xml:space="preserve">, vilket bland annat inkluderar det fortsatta införandet av servicevärdar (RF </w:t>
      </w:r>
      <w:r w:rsidRPr="00423D05">
        <w:t xml:space="preserve">2022-09-08 § </w:t>
      </w:r>
      <w:r w:rsidRPr="003449C3">
        <w:t>166)</w:t>
      </w:r>
      <w:r w:rsidRPr="00612F6E">
        <w:t xml:space="preserve"> </w:t>
      </w:r>
      <w:r>
        <w:t xml:space="preserve">utifrån </w:t>
      </w:r>
    </w:p>
    <w:p w14:paraId="32BB7CCB" w14:textId="77777777" w:rsidR="00ED1FB0" w:rsidRDefault="00ED1FB0" w:rsidP="00ED1FB0">
      <w:r>
        <w:t>intentionerna med rätt använd kompetens</w:t>
      </w:r>
      <w:r w:rsidRPr="003449C3">
        <w:t>.</w:t>
      </w:r>
      <w:r>
        <w:t xml:space="preserve"> </w:t>
      </w:r>
    </w:p>
    <w:p w14:paraId="5DAF4BAA" w14:textId="77777777" w:rsidR="00ED1FB0" w:rsidRDefault="00ED1FB0" w:rsidP="00ED1FB0"/>
    <w:p w14:paraId="28F6A362" w14:textId="77777777" w:rsidR="00ED1FB0" w:rsidRDefault="00ED1FB0" w:rsidP="00ED1FB0">
      <w:r w:rsidRPr="0007438E">
        <w:t>Region Skånes utveckling av framtidens vårdmiljöer och nya arbetssätt för med sig höga krav på att exempelvis försörjning och logistik fungerar väl i såväl vardag som i kris. Som ett led i att stärka hälso- och sjukvårdens beredskap och bidra till en mer robust försörjning har Region Skåne beslutat om att etablera ett lager för materialförsörjning i egen regi (RS 2023</w:t>
      </w:r>
      <w:r>
        <w:t>-11-13 § 14), där Regionservice kommer att ansvara för införandet och driften av den nya lager- och logistikformen.</w:t>
      </w:r>
      <w:r w:rsidRPr="009C51D6">
        <w:t xml:space="preserve"> Målet är att säkra en robust lagerhållning som bidrar till ökad patientsäkerhet, frigjord vårdtid och minskad </w:t>
      </w:r>
      <w:r w:rsidRPr="009C51D6">
        <w:lastRenderedPageBreak/>
        <w:t>miljöbelastning.</w:t>
      </w:r>
      <w:r w:rsidRPr="00FF2DEF">
        <w:t xml:space="preserve"> </w:t>
      </w:r>
      <w:r>
        <w:t xml:space="preserve">Arbetet kommer att sträcka sig över flera år och omfatta flera olika aktörer inom Regionservice och Region Skåne.  </w:t>
      </w:r>
    </w:p>
    <w:p w14:paraId="18E6AC4A" w14:textId="77777777" w:rsidR="00ED1FB0" w:rsidRDefault="00ED1FB0" w:rsidP="00ED1FB0"/>
    <w:p w14:paraId="646C4382" w14:textId="77777777" w:rsidR="00ED1FB0" w:rsidRDefault="00ED1FB0" w:rsidP="00ED1FB0">
      <w:r>
        <w:t xml:space="preserve">För Regionservice är det även viktigt att ständigt förbättra samt hitta innovativa lösningar för att kunna möta upp förändrade kundbehov. Därför ska förvaltningen under planperioden testa innovativa lösningar och om dessa faller väl ut ska innovativa lösningar implementeras. Till aktiviteterna hör bland annat det fortsatta införandet av digitala måltidsbeställningar, ett initiativ som frigör tid för vården samt </w:t>
      </w:r>
      <w:r w:rsidRPr="00422D11">
        <w:t>ökar patientens delaktighet i måltidsbeställningen.</w:t>
      </w:r>
    </w:p>
    <w:p w14:paraId="2866CE03" w14:textId="77777777" w:rsidR="00ED1FB0" w:rsidRDefault="00ED1FB0" w:rsidP="00ED1FB0"/>
    <w:p w14:paraId="0AF9FF44" w14:textId="77777777" w:rsidR="00ED1FB0" w:rsidRDefault="00ED1FB0" w:rsidP="00ED1FB0">
      <w:r>
        <w:t>Under planperioden</w:t>
      </w:r>
      <w:r w:rsidRPr="00EE275F">
        <w:t xml:space="preserve"> </w:t>
      </w:r>
      <w:r>
        <w:t xml:space="preserve">ska Regionservice </w:t>
      </w:r>
      <w:r w:rsidRPr="00EE275F">
        <w:t>implementera ett nytt måltidskonce</w:t>
      </w:r>
      <w:r>
        <w:t xml:space="preserve">pt samt </w:t>
      </w:r>
      <w:r w:rsidRPr="00EE275F">
        <w:t>driftsätta ett nytt produktionskök</w:t>
      </w:r>
      <w:r>
        <w:t xml:space="preserve">. Regionservice ska även </w:t>
      </w:r>
      <w:r w:rsidRPr="00EE275F">
        <w:t>fortsätta införandet av cirkulär möbelhanterin</w:t>
      </w:r>
      <w:r>
        <w:t>g samt fortsätta arbetet för att tillhandahålla r</w:t>
      </w:r>
      <w:r w:rsidRPr="00607154">
        <w:t xml:space="preserve">obusta tjänster </w:t>
      </w:r>
      <w:r>
        <w:t>samt bedriva ett</w:t>
      </w:r>
      <w:r w:rsidRPr="00607154">
        <w:t xml:space="preserve"> aktivt kontinuitetsarbete</w:t>
      </w:r>
      <w:r>
        <w:t>.</w:t>
      </w:r>
    </w:p>
    <w:p w14:paraId="33C293B1" w14:textId="77777777" w:rsidR="00ED1FB0" w:rsidRPr="00013952" w:rsidRDefault="00ED1FB0" w:rsidP="00ED1FB0">
      <w:pPr>
        <w:rPr>
          <w:rFonts w:eastAsia="Calibri" w:cs="Arial"/>
          <w:szCs w:val="22"/>
        </w:rPr>
      </w:pPr>
    </w:p>
    <w:p w14:paraId="4AA8CBC9" w14:textId="77777777" w:rsidR="00ED1FB0" w:rsidRPr="00013952" w:rsidRDefault="00ED1FB0" w:rsidP="00ED1FB0">
      <w:pPr>
        <w:rPr>
          <w:rFonts w:eastAsia="Calibri" w:cs="Arial"/>
          <w:szCs w:val="22"/>
        </w:rPr>
      </w:pPr>
      <w:r w:rsidRPr="00013952">
        <w:rPr>
          <w:rFonts w:eastAsia="Calibri" w:cs="Arial"/>
          <w:szCs w:val="22"/>
        </w:rPr>
        <w:t>Prioriterade aktiviteter bidrar till Region Skånes omställningsarbete 2024–26, i huvudsak ökad tillgänglighet.</w:t>
      </w:r>
    </w:p>
    <w:p w14:paraId="489EB9BB" w14:textId="77777777" w:rsidR="00ED1FB0" w:rsidRPr="00013952" w:rsidRDefault="00ED1FB0" w:rsidP="00ED1FB0">
      <w:pPr>
        <w:rPr>
          <w:rFonts w:eastAsia="Times New Roman" w:cs="Times New Roman"/>
          <w:szCs w:val="22"/>
        </w:rPr>
      </w:pPr>
    </w:p>
    <w:p w14:paraId="0C48215D" w14:textId="77777777" w:rsidR="00ED1FB0" w:rsidRPr="00013952" w:rsidRDefault="00ED1FB0" w:rsidP="00ED1FB0">
      <w:pPr>
        <w:rPr>
          <w:rFonts w:ascii="Public Sans" w:eastAsia="Times New Roman" w:hAnsi="Public Sans" w:cs="Arial"/>
          <w:b/>
          <w:bCs/>
          <w:szCs w:val="22"/>
        </w:rPr>
      </w:pPr>
      <w:r w:rsidRPr="00013952">
        <w:rPr>
          <w:rFonts w:ascii="Public Sans" w:eastAsia="Times New Roman" w:hAnsi="Public Sans" w:cs="Arial"/>
          <w:b/>
          <w:bCs/>
          <w:szCs w:val="22"/>
        </w:rPr>
        <w:t>Uppföljning</w:t>
      </w:r>
    </w:p>
    <w:p w14:paraId="4634ABE0" w14:textId="77777777" w:rsidR="00ED1FB0" w:rsidRPr="00467C78" w:rsidRDefault="00ED1FB0" w:rsidP="00ED1FB0">
      <w:r w:rsidRPr="00791CB8">
        <w:t>Målet självklar tjänstepartner bedöms utifrån indikator</w:t>
      </w:r>
      <w:r>
        <w:t>n</w:t>
      </w:r>
      <w:r w:rsidRPr="00791CB8">
        <w:t xml:space="preserve"> </w:t>
      </w:r>
      <w:r>
        <w:t>f</w:t>
      </w:r>
      <w:r w:rsidRPr="00467C78">
        <w:t>rigjord tid</w:t>
      </w:r>
      <w:r>
        <w:t xml:space="preserve">.  </w:t>
      </w:r>
    </w:p>
    <w:p w14:paraId="6DB287F7" w14:textId="77777777" w:rsidR="00ED1FB0" w:rsidRDefault="00ED1FB0" w:rsidP="00ED1FB0">
      <w:r>
        <w:t>Önskat resultat är att Regionservice</w:t>
      </w:r>
      <w:r w:rsidRPr="00467C78">
        <w:t xml:space="preserve"> ska frigöra motsvarande 35 000 timmar</w:t>
      </w:r>
      <w:r>
        <w:t xml:space="preserve"> </w:t>
      </w:r>
      <w:r w:rsidRPr="00467C78">
        <w:t>genom uppgiftsväxling</w:t>
      </w:r>
      <w:r>
        <w:t>.</w:t>
      </w:r>
    </w:p>
    <w:p w14:paraId="7516F587" w14:textId="77777777" w:rsidR="00ED1FB0" w:rsidRPr="00F31436" w:rsidRDefault="00ED1FB0" w:rsidP="00ED1FB0">
      <w:pPr>
        <w:pStyle w:val="Rubrik2"/>
        <w:rPr>
          <w:rFonts w:ascii="Public Sans" w:hAnsi="Public Sans"/>
        </w:rPr>
      </w:pPr>
      <w:bookmarkStart w:id="15" w:name="_Toc184195024"/>
      <w:r w:rsidRPr="00F31436">
        <w:rPr>
          <w:rFonts w:ascii="Public Sans" w:hAnsi="Public Sans"/>
        </w:rPr>
        <w:t>Effektiva servicelösningar</w:t>
      </w:r>
      <w:bookmarkEnd w:id="15"/>
    </w:p>
    <w:p w14:paraId="0CD64457" w14:textId="77777777" w:rsidR="00ED1FB0" w:rsidRPr="00423D05" w:rsidRDefault="00ED1FB0" w:rsidP="00ED1FB0">
      <w:r w:rsidRPr="00423D05">
        <w:t xml:space="preserve">Genom förvaltningsmålet effektiva servicelösningar bidrar Regionservice till det övergripande målet tillgänglighet och kvalitet. </w:t>
      </w:r>
    </w:p>
    <w:p w14:paraId="130880AB" w14:textId="77777777" w:rsidR="00ED1FB0" w:rsidRDefault="00ED1FB0" w:rsidP="00ED1FB0">
      <w:r>
        <w:t>Detta inåtriktade mål fokuserar</w:t>
      </w:r>
      <w:r w:rsidRPr="002F6DB0">
        <w:t xml:space="preserve"> på </w:t>
      </w:r>
      <w:r>
        <w:t>den egna</w:t>
      </w:r>
      <w:r w:rsidRPr="002F6DB0">
        <w:t xml:space="preserve"> verksamhete</w:t>
      </w:r>
      <w:r>
        <w:t>n</w:t>
      </w:r>
      <w:r w:rsidRPr="002F6DB0">
        <w:t xml:space="preserve"> och hur </w:t>
      </w:r>
      <w:r>
        <w:t>de i</w:t>
      </w:r>
      <w:r w:rsidRPr="002F6DB0">
        <w:t>nterna arbetsprocesserna fungerar.</w:t>
      </w:r>
    </w:p>
    <w:p w14:paraId="483CE967" w14:textId="77777777" w:rsidR="00ED1FB0" w:rsidRDefault="00ED1FB0" w:rsidP="00ED1FB0"/>
    <w:p w14:paraId="63D2E09E" w14:textId="77777777" w:rsidR="00ED1FB0" w:rsidRDefault="00ED1FB0" w:rsidP="00ED1FB0">
      <w:r w:rsidRPr="00E753A3">
        <w:t xml:space="preserve">Regionservice </w:t>
      </w:r>
      <w:r>
        <w:t>verka</w:t>
      </w:r>
      <w:r w:rsidRPr="00E753A3">
        <w:t xml:space="preserve">r i en komplex miljö </w:t>
      </w:r>
      <w:r>
        <w:t>där förvaltningens</w:t>
      </w:r>
      <w:r w:rsidRPr="00E753A3">
        <w:t xml:space="preserve"> flöden påverkar vården </w:t>
      </w:r>
      <w:r>
        <w:t>i sitt uppdrag. Under verksamhetsåret ska Regionservice arbeta för s</w:t>
      </w:r>
      <w:r w:rsidRPr="00D1389F">
        <w:t xml:space="preserve">tandardiserade flöden – </w:t>
      </w:r>
      <w:r>
        <w:t xml:space="preserve">och förbättra dessa </w:t>
      </w:r>
      <w:r w:rsidRPr="00D1389F">
        <w:lastRenderedPageBreak/>
        <w:t>utifrån kontinuitet, effektivitet, kvalitet</w:t>
      </w:r>
      <w:r>
        <w:t xml:space="preserve">. Regionservice ska också säkerställa effekthemtagning av pågående insatser. </w:t>
      </w:r>
    </w:p>
    <w:p w14:paraId="2C000330" w14:textId="77777777" w:rsidR="00ED1FB0" w:rsidRDefault="00ED1FB0" w:rsidP="00ED1FB0"/>
    <w:p w14:paraId="17871099" w14:textId="77777777" w:rsidR="00ED1FB0" w:rsidRDefault="00ED1FB0" w:rsidP="00ED1FB0">
      <w:r>
        <w:t>För att ytterligare förbättra förvaltningens egna processer behöver Regionservice ha t</w:t>
      </w:r>
      <w:r w:rsidRPr="00D1389F">
        <w:t>illgängliga data för styrning och utveckling</w:t>
      </w:r>
      <w:r>
        <w:t>. Detta bedrivs fortsatt inom ramen för förvaltningens projekt produktions- och leveransuppföljning. Regionservice ska även verka för o</w:t>
      </w:r>
      <w:r w:rsidRPr="00D1389F">
        <w:t>ptimering och digitalisering av flöden</w:t>
      </w:r>
      <w:r>
        <w:t xml:space="preserve"> och på sikt för helautomatiserat där det är möjligt. </w:t>
      </w:r>
    </w:p>
    <w:p w14:paraId="33946DFD" w14:textId="77777777" w:rsidR="00ED1FB0" w:rsidRDefault="00ED1FB0" w:rsidP="00ED1FB0"/>
    <w:p w14:paraId="604C436C" w14:textId="77777777" w:rsidR="00ED1FB0" w:rsidRDefault="00ED1FB0" w:rsidP="00ED1FB0">
      <w:r>
        <w:t xml:space="preserve">Inom Regionservice ska även ett större arbete för att säkra att förvaltningen har de systemstöd som behövs när plattformen CAFM ska ersättas. Detta arbete bedrivs inom ramen för det som kallas CAFM färdplan. </w:t>
      </w:r>
      <w:r w:rsidRPr="00CD43AB">
        <w:t xml:space="preserve">Regionservice ansvarar för att beskriva verksamhetens behov och förvaltning Digitalisering IT och MT föreslår lösning. </w:t>
      </w:r>
      <w:r>
        <w:t xml:space="preserve">Där det är lämpligt ska </w:t>
      </w:r>
      <w:r w:rsidRPr="00CD43AB">
        <w:t>befintliga system</w:t>
      </w:r>
      <w:r>
        <w:t xml:space="preserve"> i Region Skåne användas</w:t>
      </w:r>
      <w:r w:rsidRPr="00CD43AB">
        <w:t>.</w:t>
      </w:r>
    </w:p>
    <w:p w14:paraId="68C36F22" w14:textId="77777777" w:rsidR="00ED1FB0" w:rsidRPr="00D779BB" w:rsidRDefault="00ED1FB0" w:rsidP="00ED1FB0"/>
    <w:p w14:paraId="2C8B5095" w14:textId="77777777" w:rsidR="00ED1FB0" w:rsidRDefault="00ED1FB0" w:rsidP="00ED1FB0">
      <w:r w:rsidRPr="00D779BB">
        <w:t>Regionservice ska även fortsätta bedriva programmet Robust textilförsörjning. Syftet med arbetet är att skapa ett modernt tvätteri med hög driftsäkerhet, god arbetsmiljö och ett minskat textilsvinn, bland annat med stöd av ny teknik.</w:t>
      </w:r>
    </w:p>
    <w:p w14:paraId="004A3A7E" w14:textId="77777777" w:rsidR="00A77C9F" w:rsidRPr="00A77C9F" w:rsidRDefault="00A77C9F" w:rsidP="00A77C9F">
      <w:pPr>
        <w:spacing w:line="240" w:lineRule="auto"/>
        <w:textAlignment w:val="baseline"/>
        <w:rPr>
          <w:rFonts w:ascii="Segoe UI" w:eastAsia="Times New Roman" w:hAnsi="Segoe UI" w:cs="Segoe UI"/>
          <w:sz w:val="18"/>
          <w:szCs w:val="18"/>
          <w:lang w:eastAsia="sv-SE"/>
        </w:rPr>
      </w:pPr>
      <w:r w:rsidRPr="00A77C9F">
        <w:rPr>
          <w:rFonts w:eastAsia="Times New Roman" w:cs="Segoe UI"/>
          <w:szCs w:val="22"/>
          <w:lang w:eastAsia="sv-SE"/>
        </w:rPr>
        <w:t> </w:t>
      </w:r>
    </w:p>
    <w:p w14:paraId="22F00B85" w14:textId="6284A55F" w:rsidR="00A77C9F" w:rsidRPr="00A77C9F" w:rsidRDefault="00A77C9F" w:rsidP="00A77C9F">
      <w:pPr>
        <w:spacing w:line="240" w:lineRule="auto"/>
        <w:textAlignment w:val="baseline"/>
        <w:rPr>
          <w:rFonts w:ascii="Segoe UI" w:eastAsia="Times New Roman" w:hAnsi="Segoe UI" w:cs="Segoe UI"/>
          <w:sz w:val="18"/>
          <w:szCs w:val="18"/>
          <w:lang w:eastAsia="sv-SE"/>
        </w:rPr>
      </w:pPr>
      <w:r w:rsidRPr="00A77C9F">
        <w:rPr>
          <w:rFonts w:eastAsia="Times New Roman" w:cs="Segoe UI"/>
          <w:szCs w:val="22"/>
          <w:lang w:eastAsia="sv-SE"/>
        </w:rPr>
        <w:t>Därutöver ska Regionservice under 2025 intensifiera sitt arbete med att stärka den svenska livsmedelsberedskapen. </w:t>
      </w:r>
    </w:p>
    <w:p w14:paraId="779F26D0" w14:textId="77777777" w:rsidR="00ED1FB0" w:rsidRPr="00013952" w:rsidRDefault="00ED1FB0" w:rsidP="00ED1FB0">
      <w:pPr>
        <w:rPr>
          <w:rFonts w:eastAsia="Times New Roman" w:cs="Times New Roman"/>
        </w:rPr>
      </w:pPr>
    </w:p>
    <w:p w14:paraId="2FA0ECBB" w14:textId="77777777" w:rsidR="00ED1FB0" w:rsidRPr="00A82904" w:rsidRDefault="00ED1FB0" w:rsidP="00ED1FB0">
      <w:r w:rsidRPr="00013952">
        <w:rPr>
          <w:rFonts w:ascii="Public Sans" w:eastAsia="Times New Roman" w:hAnsi="Public Sans" w:cs="Times New Roman"/>
          <w:b/>
          <w:bCs/>
          <w:szCs w:val="22"/>
        </w:rPr>
        <w:t xml:space="preserve">Uppföljning </w:t>
      </w:r>
      <w:r w:rsidRPr="00013952">
        <w:rPr>
          <w:rFonts w:ascii="Public Sans" w:eastAsia="Times New Roman" w:hAnsi="Public Sans" w:cs="Times New Roman"/>
          <w:b/>
          <w:bCs/>
          <w:szCs w:val="22"/>
        </w:rPr>
        <w:br/>
      </w:r>
      <w:r w:rsidRPr="004326F5">
        <w:t xml:space="preserve">Förvaltningsmålet effektiva servicelösningar bedöms utifrån </w:t>
      </w:r>
      <w:r>
        <w:t>uppsatt effektiviseringskrav att Regionservice u</w:t>
      </w:r>
      <w:r w:rsidRPr="00125FD3">
        <w:t>nder 2025 ska skapa förutsättningar för att möta framtida behov, genom kostnadssänkningar och effektiviseringar</w:t>
      </w:r>
      <w:r>
        <w:t xml:space="preserve"> </w:t>
      </w:r>
      <w:r w:rsidRPr="00125FD3">
        <w:t>motsvarande 50 miljoner kronor inför 2026.</w:t>
      </w:r>
    </w:p>
    <w:p w14:paraId="4BA67C74" w14:textId="77777777" w:rsidR="00ED1FB0" w:rsidRPr="00F31436" w:rsidRDefault="00ED1FB0" w:rsidP="00ED1FB0">
      <w:pPr>
        <w:pStyle w:val="Rubrik2"/>
        <w:rPr>
          <w:rFonts w:ascii="Public Sans" w:hAnsi="Public Sans"/>
        </w:rPr>
      </w:pPr>
      <w:bookmarkStart w:id="16" w:name="_Toc184195025"/>
      <w:r w:rsidRPr="00F31436">
        <w:rPr>
          <w:rFonts w:ascii="Public Sans" w:hAnsi="Public Sans"/>
        </w:rPr>
        <w:lastRenderedPageBreak/>
        <w:t>Hållbar resursanvändning</w:t>
      </w:r>
      <w:bookmarkEnd w:id="16"/>
    </w:p>
    <w:p w14:paraId="4D0142A9" w14:textId="77777777" w:rsidR="00ED1FB0" w:rsidRPr="00423D05" w:rsidRDefault="00ED1FB0" w:rsidP="00ED1FB0">
      <w:r w:rsidRPr="00423D05">
        <w:t xml:space="preserve">Genom förvaltningsmålet hållbar resursanvändning bidrar Regionservice till hållbar utveckling i hela Skåne. </w:t>
      </w:r>
    </w:p>
    <w:p w14:paraId="4467230A" w14:textId="77777777" w:rsidR="00ED1FB0" w:rsidRDefault="00ED1FB0" w:rsidP="00ED1FB0"/>
    <w:p w14:paraId="43B801B6" w14:textId="77777777" w:rsidR="00ED1FB0" w:rsidRDefault="00ED1FB0" w:rsidP="00ED1FB0">
      <w:r w:rsidRPr="00423D05">
        <w:t xml:space="preserve">Regionservice </w:t>
      </w:r>
      <w:r>
        <w:t>ska ha k</w:t>
      </w:r>
      <w:r w:rsidRPr="005B7584">
        <w:t>limatanpassade tjänster</w:t>
      </w:r>
      <w:r>
        <w:t>. För planperioden är ambitionen att förvaltningen ska verka för ett i</w:t>
      </w:r>
      <w:r w:rsidRPr="005B7584">
        <w:t>nnovativt klimatarbete</w:t>
      </w:r>
      <w:r>
        <w:t xml:space="preserve"> samt att därigenom bedriva ett k</w:t>
      </w:r>
      <w:r w:rsidRPr="005B7584">
        <w:t>limatarbete i framkant</w:t>
      </w:r>
      <w:r>
        <w:t xml:space="preserve">. Detta arbete bedrivs till stor del genom förvaltningens tjänsteutveckling. Regionservice ska bland annat </w:t>
      </w:r>
      <w:r w:rsidRPr="00BF287D">
        <w:t>visualisera framtidens fordonsflotta för att därigenom gå mot ett ökat antal fossilbränslefria fordon. Regionservice ska även införa ett transportledningssystem samt etablera lager i egen regi. Nämnda insatser möjliggör optimering av transporter vilket bidrar till minskad miljöbelastning under senare delen av 2025–2027. Regionservice ska även verka för att öka livslängden på textilstocken samt till att kassation av textil enbart sker när plagget är uttjänt.</w:t>
      </w:r>
    </w:p>
    <w:p w14:paraId="05267D1C" w14:textId="77777777" w:rsidR="00ED1FB0" w:rsidRDefault="00ED1FB0" w:rsidP="00ED1FB0"/>
    <w:p w14:paraId="309A546B" w14:textId="77777777" w:rsidR="00ED1FB0" w:rsidRPr="00BF287D" w:rsidRDefault="00ED1FB0" w:rsidP="00ED1FB0">
      <w:r w:rsidRPr="00E66129">
        <w:t>Regionservice hållbarhetsarbete ska bidra till målen i Region Skånes miljöprogram</w:t>
      </w:r>
      <w:r>
        <w:t xml:space="preserve"> och </w:t>
      </w:r>
      <w:r w:rsidRPr="00B619BC">
        <w:t>däribland de operativa miljömålen. För 2025 ansvarar Regionservice för att minska matsvinnet samt minska klimatpåverkan från måltider.</w:t>
      </w:r>
      <w:r>
        <w:rPr>
          <w:b/>
          <w:bCs/>
        </w:rPr>
        <w:t xml:space="preserve"> </w:t>
      </w:r>
    </w:p>
    <w:p w14:paraId="2BA55E05" w14:textId="77777777" w:rsidR="00ED1FB0" w:rsidRPr="00013952" w:rsidRDefault="00ED1FB0" w:rsidP="00ED1FB0">
      <w:pPr>
        <w:rPr>
          <w:rFonts w:eastAsia="Times New Roman" w:cs="Times New Roman"/>
        </w:rPr>
      </w:pPr>
    </w:p>
    <w:p w14:paraId="0214B4CC" w14:textId="77777777" w:rsidR="00ED1FB0" w:rsidRPr="00013952" w:rsidRDefault="00ED1FB0" w:rsidP="00ED1FB0">
      <w:pPr>
        <w:rPr>
          <w:rFonts w:ascii="Public Sans" w:eastAsia="Times New Roman" w:hAnsi="Public Sans" w:cs="Arial"/>
          <w:b/>
          <w:bCs/>
          <w:szCs w:val="22"/>
        </w:rPr>
      </w:pPr>
      <w:r w:rsidRPr="00013952">
        <w:rPr>
          <w:rFonts w:ascii="Public Sans" w:eastAsia="Times New Roman" w:hAnsi="Public Sans" w:cs="Arial"/>
          <w:b/>
          <w:bCs/>
          <w:szCs w:val="22"/>
        </w:rPr>
        <w:t>Uppföljning</w:t>
      </w:r>
    </w:p>
    <w:p w14:paraId="6F689474" w14:textId="77777777" w:rsidR="00ED1FB0" w:rsidRPr="0003121D" w:rsidRDefault="00ED1FB0" w:rsidP="00ED1FB0">
      <w:r>
        <w:t>För att bedöma om målet hållbar resursanvändning ska Regionservice ska uppnå 100 procent av Region Skånes operativa miljömål för 2025 som förvaltningen ansvarar för. Dessutom ska samtliga medarbetare ska ha genomfört miljöutbildningen Hållbara val 2.0 (e-utbildning) under 2025.</w:t>
      </w:r>
    </w:p>
    <w:p w14:paraId="1A1415A4" w14:textId="77777777" w:rsidR="00ED1FB0" w:rsidRPr="00F31436" w:rsidRDefault="00ED1FB0" w:rsidP="00ED1FB0">
      <w:pPr>
        <w:pStyle w:val="Rubrik2"/>
        <w:rPr>
          <w:rFonts w:ascii="Public Sans" w:hAnsi="Public Sans"/>
        </w:rPr>
      </w:pPr>
      <w:bookmarkStart w:id="17" w:name="_Toc184195026"/>
      <w:r w:rsidRPr="00F31436">
        <w:rPr>
          <w:rFonts w:ascii="Public Sans" w:hAnsi="Public Sans"/>
        </w:rPr>
        <w:t>Välfungerande arbetsplats</w:t>
      </w:r>
      <w:bookmarkEnd w:id="17"/>
    </w:p>
    <w:p w14:paraId="0F8EE390" w14:textId="77777777" w:rsidR="00ED1FB0" w:rsidRDefault="00ED1FB0" w:rsidP="00ED1FB0">
      <w:r w:rsidRPr="00327654">
        <w:t xml:space="preserve">Genom förvaltningsmålet välfungerande arbetsplats verkar Regionservice för Region Skånes mål attraktiv arbetsgivare och professionell verksamhet. </w:t>
      </w:r>
    </w:p>
    <w:p w14:paraId="77BCBA84" w14:textId="77777777" w:rsidR="00ED1FB0" w:rsidRPr="00327654" w:rsidRDefault="00ED1FB0" w:rsidP="00ED1FB0"/>
    <w:p w14:paraId="1E4C446E" w14:textId="77777777" w:rsidR="00ED1FB0" w:rsidRDefault="00ED1FB0" w:rsidP="00ED1FB0">
      <w:r w:rsidRPr="00327654">
        <w:lastRenderedPageBreak/>
        <w:t xml:space="preserve">Att säkra den framtida kompetensförsörjningen är en identifierad utmaning tillika möjlighet för </w:t>
      </w:r>
      <w:r>
        <w:t xml:space="preserve">Region Skåne och </w:t>
      </w:r>
      <w:r w:rsidRPr="00327654">
        <w:t>Regionservice; Regionservice är beroende av att kunna rekrytera nya medarbetare samt behålla och vidareutbilda befintlig personal.</w:t>
      </w:r>
    </w:p>
    <w:p w14:paraId="6EE9E7C8" w14:textId="77777777" w:rsidR="00ED1FB0" w:rsidRDefault="00ED1FB0" w:rsidP="00ED1FB0">
      <w:pPr>
        <w:rPr>
          <w:highlight w:val="yellow"/>
        </w:rPr>
      </w:pPr>
    </w:p>
    <w:p w14:paraId="1E6DC9DC" w14:textId="77777777" w:rsidR="00ED1FB0" w:rsidRDefault="00ED1FB0" w:rsidP="00ED1FB0">
      <w:r w:rsidRPr="009712F5">
        <w:t>Under verksamhetsåret ska förvaltningen verka för r</w:t>
      </w:r>
      <w:r w:rsidRPr="00BD4AD7">
        <w:t>ätt kompetens och professionellt ledarskap</w:t>
      </w:r>
      <w:r w:rsidRPr="009712F5">
        <w:t xml:space="preserve"> och för att stärka Regionservice som f</w:t>
      </w:r>
      <w:r w:rsidRPr="00BD4AD7">
        <w:t>örbättrings- och utvecklingsdriven organisation</w:t>
      </w:r>
      <w:r w:rsidRPr="009712F5">
        <w:t>. Förvaltningens aktiviteter under planperioden syftar till att bidra till att nå målet om säkrad kompetensförsörjning, inom ramen för Regions Skånes omställningsarbete.</w:t>
      </w:r>
      <w:r w:rsidRPr="00327654">
        <w:t xml:space="preserve"> </w:t>
      </w:r>
    </w:p>
    <w:p w14:paraId="74E5CD78" w14:textId="77777777" w:rsidR="00ED1FB0" w:rsidRPr="00013952" w:rsidRDefault="00ED1FB0" w:rsidP="00ED1FB0">
      <w:pPr>
        <w:rPr>
          <w:rFonts w:eastAsia="Times New Roman" w:cs="Times New Roman"/>
        </w:rPr>
      </w:pPr>
    </w:p>
    <w:p w14:paraId="2F08588D" w14:textId="77777777" w:rsidR="00ED1FB0" w:rsidRPr="00013952" w:rsidRDefault="00ED1FB0" w:rsidP="00ED1FB0">
      <w:pPr>
        <w:rPr>
          <w:rFonts w:ascii="Public Sans" w:eastAsia="Times New Roman" w:hAnsi="Public Sans" w:cs="Arial"/>
          <w:b/>
          <w:bCs/>
          <w:szCs w:val="22"/>
        </w:rPr>
      </w:pPr>
      <w:r w:rsidRPr="00013952">
        <w:rPr>
          <w:rFonts w:ascii="Public Sans" w:eastAsia="Times New Roman" w:hAnsi="Public Sans" w:cs="Arial"/>
          <w:b/>
          <w:bCs/>
          <w:szCs w:val="22"/>
        </w:rPr>
        <w:t>Uppföljning</w:t>
      </w:r>
    </w:p>
    <w:p w14:paraId="6E39D8AF" w14:textId="77777777" w:rsidR="00ED1FB0" w:rsidRDefault="00ED1FB0" w:rsidP="00ED1FB0">
      <w:r w:rsidRPr="00D11D87">
        <w:t xml:space="preserve">Förvaltningsmålet välfungerande arbetsplats bedöms utifrån resultatet </w:t>
      </w:r>
      <w:r>
        <w:t>förvaltningens s</w:t>
      </w:r>
      <w:r w:rsidRPr="00A62C44">
        <w:t>jukfrånvaro</w:t>
      </w:r>
      <w:r>
        <w:t>, som inte ska</w:t>
      </w:r>
      <w:r w:rsidRPr="00A62C44">
        <w:t xml:space="preserve"> överstiga 4</w:t>
      </w:r>
      <w:r>
        <w:t xml:space="preserve"> procent f</w:t>
      </w:r>
      <w:r w:rsidRPr="00A62C44">
        <w:t>ör tjänstemän</w:t>
      </w:r>
      <w:r>
        <w:t>,</w:t>
      </w:r>
      <w:r w:rsidRPr="00A62C44">
        <w:t xml:space="preserve"> respektive 6</w:t>
      </w:r>
      <w:r>
        <w:t xml:space="preserve"> procent f</w:t>
      </w:r>
      <w:r w:rsidRPr="00A62C44">
        <w:t>ör kollektivanställda</w:t>
      </w:r>
      <w:r>
        <w:t xml:space="preserve">. </w:t>
      </w:r>
    </w:p>
    <w:p w14:paraId="3C3AAC02" w14:textId="77777777" w:rsidR="00ED1FB0" w:rsidRDefault="00ED1FB0" w:rsidP="00ED1FB0"/>
    <w:p w14:paraId="31E59B13" w14:textId="77777777" w:rsidR="00ED1FB0" w:rsidRDefault="00ED1FB0" w:rsidP="00ED1FB0">
      <w:r>
        <w:t xml:space="preserve">Därutöver kommer Regionservice </w:t>
      </w:r>
      <w:r w:rsidRPr="00A62C44">
        <w:t>att komplettera med en indikator för medarbetarundersökning</w:t>
      </w:r>
      <w:r>
        <w:t>.</w:t>
      </w:r>
    </w:p>
    <w:p w14:paraId="507AF348" w14:textId="77777777" w:rsidR="00ED1FB0" w:rsidRPr="00F31436" w:rsidRDefault="00ED1FB0" w:rsidP="00ED1FB0">
      <w:pPr>
        <w:pStyle w:val="Rubrik2"/>
        <w:rPr>
          <w:rFonts w:ascii="Public Sans" w:hAnsi="Public Sans"/>
        </w:rPr>
      </w:pPr>
      <w:bookmarkStart w:id="18" w:name="_Toc184195027"/>
      <w:r w:rsidRPr="00F31436">
        <w:rPr>
          <w:rFonts w:ascii="Public Sans" w:hAnsi="Public Sans"/>
        </w:rPr>
        <w:t>Ekonomi i balans</w:t>
      </w:r>
      <w:bookmarkEnd w:id="18"/>
    </w:p>
    <w:p w14:paraId="17D3E0A8" w14:textId="77777777" w:rsidR="00ED1FB0" w:rsidRDefault="00ED1FB0" w:rsidP="00ED1FB0">
      <w:r>
        <w:t>Genom förvaltningsmålet ekonomi i balans bidrar Regionservice till det övergripande målet långsiktigt stark ekonomi. En ekonomi i balans skapar utrymme för fler utvecklingssatsningar, hållbara och klimateffektiva lösningar och att Regionservice blir en attraktiv arbetsgivare för befintliga och framtida medarbetare.</w:t>
      </w:r>
    </w:p>
    <w:p w14:paraId="365E5C28" w14:textId="77777777" w:rsidR="00ED1FB0" w:rsidRDefault="00ED1FB0" w:rsidP="00ED1FB0"/>
    <w:p w14:paraId="5D023D2D" w14:textId="77777777" w:rsidR="00ED1FB0" w:rsidRDefault="00ED1FB0" w:rsidP="00ED1FB0">
      <w:r>
        <w:t xml:space="preserve">Under 2025 ska Regionservice arbeta för en ändamålsenlig prismodell. </w:t>
      </w:r>
    </w:p>
    <w:p w14:paraId="39F1CE99" w14:textId="77777777" w:rsidR="00ED1FB0" w:rsidRDefault="00ED1FB0" w:rsidP="00ED1FB0">
      <w:r>
        <w:t>Kopplat till såväl mål som Region Skånes omställning och identifierade insatsområden ska Regionservice under planperioden verka för en incitamentsstyrd prismodell och ett automatiserat budgetarbete.</w:t>
      </w:r>
    </w:p>
    <w:p w14:paraId="0C8FA8F7" w14:textId="77777777" w:rsidR="00ED1FB0" w:rsidRPr="00013952" w:rsidRDefault="00ED1FB0" w:rsidP="00ED1FB0">
      <w:pPr>
        <w:rPr>
          <w:rFonts w:eastAsia="Times New Roman" w:cs="Times New Roman"/>
          <w:szCs w:val="22"/>
        </w:rPr>
      </w:pPr>
    </w:p>
    <w:p w14:paraId="7E51B5FD" w14:textId="77777777" w:rsidR="00ED1FB0" w:rsidRPr="00013952" w:rsidRDefault="00ED1FB0" w:rsidP="00ED1FB0">
      <w:pPr>
        <w:rPr>
          <w:rFonts w:ascii="Public Sans" w:eastAsia="Times New Roman" w:hAnsi="Public Sans" w:cs="Arial"/>
          <w:b/>
          <w:bCs/>
          <w:szCs w:val="22"/>
        </w:rPr>
      </w:pPr>
      <w:r w:rsidRPr="00013952">
        <w:rPr>
          <w:rFonts w:ascii="Public Sans" w:eastAsia="Times New Roman" w:hAnsi="Public Sans" w:cs="Arial"/>
          <w:b/>
          <w:bCs/>
          <w:szCs w:val="22"/>
        </w:rPr>
        <w:t>Uppföljning</w:t>
      </w:r>
    </w:p>
    <w:p w14:paraId="1FBF95D6" w14:textId="77777777" w:rsidR="00ED1FB0" w:rsidRDefault="00ED1FB0" w:rsidP="00ED1FB0">
      <w:bookmarkStart w:id="19" w:name="_Toc148775393"/>
      <w:r>
        <w:lastRenderedPageBreak/>
        <w:t>Bedömningen av måluppfyllelse avseende ekonomi i balans baseras på resultat på indikatorn avvikelse mot budget, där resultatet för året ska vara bättre eller lika med budget.</w:t>
      </w:r>
    </w:p>
    <w:p w14:paraId="13E3EE03" w14:textId="77777777" w:rsidR="00ED1FB0" w:rsidRDefault="00ED1FB0" w:rsidP="00ED1FB0">
      <w:pPr>
        <w:pStyle w:val="Rubrik2"/>
        <w:rPr>
          <w:rFonts w:ascii="Public Sans" w:hAnsi="Public Sans"/>
        </w:rPr>
      </w:pPr>
      <w:bookmarkStart w:id="20" w:name="_Toc184195028"/>
      <w:r w:rsidRPr="00F31436">
        <w:rPr>
          <w:rFonts w:ascii="Public Sans" w:hAnsi="Public Sans"/>
        </w:rPr>
        <w:t>Ekonomiska förutsättningar</w:t>
      </w:r>
      <w:bookmarkEnd w:id="19"/>
      <w:bookmarkEnd w:id="20"/>
    </w:p>
    <w:p w14:paraId="2A2EB691" w14:textId="77777777" w:rsidR="00ED1FB0" w:rsidRPr="00642E31" w:rsidRDefault="00ED1FB0" w:rsidP="00ED1FB0">
      <w:r w:rsidRPr="00642E31">
        <w:t xml:space="preserve">Regionservice finansieras till största delen av en fast ersättningsmodell. Ersättningen beräknas utifrån en självkostnadsprincip och inkluderar kostnader för förvaltningsadministration och </w:t>
      </w:r>
      <w:r>
        <w:t>overhead</w:t>
      </w:r>
      <w:r w:rsidRPr="00642E31">
        <w:t xml:space="preserve"> (OH).</w:t>
      </w:r>
    </w:p>
    <w:p w14:paraId="5D1EAB78" w14:textId="77777777" w:rsidR="00ED1FB0" w:rsidRDefault="00ED1FB0" w:rsidP="00ED1FB0">
      <w:r w:rsidRPr="00642E31">
        <w:t>Regionservice kostnader fördelas enligt fastställda principer till respektive tjänst och kund utifrån volym, resursåtgång eller annan överenskommen</w:t>
      </w:r>
      <w:r w:rsidRPr="006E3564">
        <w:t xml:space="preserve"> fördelning. Sedan budget 2024 fördelas kostnaden för OH </w:t>
      </w:r>
      <w:r>
        <w:t xml:space="preserve">direkt till kunderna utifrån omsättning, i stället för tidigare då den utgick från </w:t>
      </w:r>
      <w:r w:rsidRPr="006E3564">
        <w:t xml:space="preserve">respektive tjänst. Detta för att förtydliga prismodellen </w:t>
      </w:r>
      <w:r>
        <w:t>samt</w:t>
      </w:r>
      <w:r w:rsidRPr="006E3564">
        <w:t xml:space="preserve"> öka jämförbarheten för kunden vid effekthemtagning.  </w:t>
      </w:r>
    </w:p>
    <w:p w14:paraId="7CA50FC7" w14:textId="77777777" w:rsidR="00ED1FB0" w:rsidRDefault="00ED1FB0" w:rsidP="00ED1FB0"/>
    <w:p w14:paraId="635B48CA" w14:textId="77777777" w:rsidR="00ED1FB0" w:rsidRPr="006E3564" w:rsidRDefault="00ED1FB0" w:rsidP="00ED1FB0">
      <w:r w:rsidRPr="006E3564">
        <w:t>Finansieringen regleras årligen i budget i enlighet med besluta</w:t>
      </w:r>
      <w:r>
        <w:t>t</w:t>
      </w:r>
      <w:r w:rsidRPr="006E3564">
        <w:t xml:space="preserve"> planeringsdirektiv samt regionövergripande beslut. Förändringar beräknats utifrån volym och/eller pris för tjänst. </w:t>
      </w:r>
    </w:p>
    <w:p w14:paraId="40046532" w14:textId="77777777" w:rsidR="00ED1FB0" w:rsidRPr="006E3564" w:rsidRDefault="00ED1FB0" w:rsidP="00ED1FB0">
      <w:r w:rsidRPr="006E3564">
        <w:t>Förutsättningarna för budget 2025 har beslutats i två steg</w:t>
      </w:r>
      <w:r>
        <w:t>:</w:t>
      </w:r>
      <w:r w:rsidRPr="006E3564">
        <w:t xml:space="preserve"> vår respektive höst. Båda stegen sammanfattar förutsättningarna för Regionservice under 2025.</w:t>
      </w:r>
    </w:p>
    <w:p w14:paraId="03AAF3A7" w14:textId="77777777" w:rsidR="00ED1FB0" w:rsidRDefault="00ED1FB0" w:rsidP="00ED1FB0">
      <w:pPr>
        <w:spacing w:line="240" w:lineRule="auto"/>
        <w:textAlignment w:val="baseline"/>
      </w:pPr>
    </w:p>
    <w:p w14:paraId="505201E4" w14:textId="77777777" w:rsidR="00ED1FB0" w:rsidRPr="00677D7D" w:rsidRDefault="00ED1FB0" w:rsidP="00ED1FB0">
      <w:pPr>
        <w:ind w:left="1304"/>
        <w:rPr>
          <w:b/>
          <w:bCs/>
        </w:rPr>
      </w:pPr>
      <w:r w:rsidRPr="00677D7D">
        <w:rPr>
          <w:b/>
          <w:bCs/>
        </w:rPr>
        <w:t>Steg 1 (vår):</w:t>
      </w:r>
    </w:p>
    <w:p w14:paraId="751F78D1" w14:textId="77777777" w:rsidR="00ED1FB0" w:rsidRDefault="00ED1FB0" w:rsidP="00ED1FB0">
      <w:pPr>
        <w:ind w:left="1304"/>
      </w:pPr>
      <w:r>
        <w:t>S</w:t>
      </w:r>
      <w:r w:rsidRPr="00677D7D">
        <w:t xml:space="preserve">amtliga serviceförvaltningar </w:t>
      </w:r>
      <w:r>
        <w:t xml:space="preserve">uppdrogs att </w:t>
      </w:r>
      <w:r w:rsidRPr="00677D7D">
        <w:t>beräkna sina ramförändringar enligt principer</w:t>
      </w:r>
      <w:r>
        <w:t xml:space="preserve">na </w:t>
      </w:r>
      <w:r w:rsidRPr="00677D7D">
        <w:t>nedan:</w:t>
      </w:r>
      <w:r>
        <w:t xml:space="preserve"> </w:t>
      </w:r>
    </w:p>
    <w:p w14:paraId="536AE6D5" w14:textId="77777777" w:rsidR="00ED1FB0" w:rsidRPr="00677D7D" w:rsidRDefault="00ED1FB0" w:rsidP="00ED1FB0">
      <w:pPr>
        <w:ind w:left="1304"/>
      </w:pPr>
    </w:p>
    <w:p w14:paraId="47264B6D" w14:textId="77777777" w:rsidR="00ED1FB0" w:rsidRPr="00677D7D" w:rsidRDefault="00ED1FB0" w:rsidP="00ED1FB0">
      <w:pPr>
        <w:pStyle w:val="Liststycke"/>
        <w:numPr>
          <w:ilvl w:val="0"/>
          <w:numId w:val="37"/>
        </w:numPr>
        <w:ind w:left="1664"/>
      </w:pPr>
      <w:r w:rsidRPr="00677D7D">
        <w:t>Godkända utökningar av budgetram:</w:t>
      </w:r>
    </w:p>
    <w:p w14:paraId="23286A78" w14:textId="77777777" w:rsidR="00ED1FB0" w:rsidRPr="00064633" w:rsidRDefault="00ED1FB0" w:rsidP="00ED1FB0">
      <w:pPr>
        <w:pStyle w:val="Liststycke"/>
        <w:numPr>
          <w:ilvl w:val="1"/>
          <w:numId w:val="38"/>
        </w:numPr>
        <w:ind w:left="2024"/>
        <w:rPr>
          <w:i/>
          <w:iCs/>
        </w:rPr>
      </w:pPr>
      <w:r w:rsidRPr="00064633">
        <w:rPr>
          <w:i/>
          <w:iCs/>
        </w:rPr>
        <w:t>Avtalsenliga prisökningar från externa leverantörer</w:t>
      </w:r>
      <w:r>
        <w:rPr>
          <w:i/>
          <w:iCs/>
        </w:rPr>
        <w:t>.</w:t>
      </w:r>
    </w:p>
    <w:p w14:paraId="60893736" w14:textId="77777777" w:rsidR="00ED1FB0" w:rsidRPr="00064633" w:rsidRDefault="00ED1FB0" w:rsidP="00ED1FB0">
      <w:pPr>
        <w:pStyle w:val="Liststycke"/>
        <w:numPr>
          <w:ilvl w:val="1"/>
          <w:numId w:val="38"/>
        </w:numPr>
        <w:ind w:left="2024"/>
        <w:rPr>
          <w:i/>
          <w:iCs/>
        </w:rPr>
      </w:pPr>
      <w:r w:rsidRPr="00064633">
        <w:rPr>
          <w:i/>
          <w:iCs/>
        </w:rPr>
        <w:t>Lagkrav och regionala beslut</w:t>
      </w:r>
      <w:r>
        <w:rPr>
          <w:i/>
          <w:iCs/>
        </w:rPr>
        <w:t>.</w:t>
      </w:r>
    </w:p>
    <w:p w14:paraId="0B18069C" w14:textId="77777777" w:rsidR="00ED1FB0" w:rsidRPr="00064633" w:rsidRDefault="00ED1FB0" w:rsidP="00ED1FB0">
      <w:pPr>
        <w:pStyle w:val="Liststycke"/>
        <w:numPr>
          <w:ilvl w:val="1"/>
          <w:numId w:val="38"/>
        </w:numPr>
        <w:ind w:left="2024"/>
        <w:rPr>
          <w:i/>
          <w:iCs/>
        </w:rPr>
      </w:pPr>
      <w:r w:rsidRPr="00064633">
        <w:rPr>
          <w:i/>
          <w:iCs/>
        </w:rPr>
        <w:t>Volymökningar och överenskomna leveranser till kund</w:t>
      </w:r>
      <w:r>
        <w:rPr>
          <w:i/>
          <w:iCs/>
        </w:rPr>
        <w:t>.</w:t>
      </w:r>
    </w:p>
    <w:p w14:paraId="33C2490B" w14:textId="77777777" w:rsidR="00ED1FB0" w:rsidRPr="00064633" w:rsidRDefault="00ED1FB0" w:rsidP="00ED1FB0">
      <w:pPr>
        <w:pStyle w:val="Liststycke"/>
        <w:numPr>
          <w:ilvl w:val="1"/>
          <w:numId w:val="38"/>
        </w:numPr>
        <w:ind w:left="2024"/>
        <w:rPr>
          <w:i/>
          <w:iCs/>
        </w:rPr>
      </w:pPr>
      <w:r w:rsidRPr="00064633">
        <w:rPr>
          <w:i/>
          <w:iCs/>
        </w:rPr>
        <w:t>Beslutade kostnadsökningar från andra förvaltningar inom Region Skåne (ex. hyra)</w:t>
      </w:r>
      <w:r>
        <w:rPr>
          <w:i/>
          <w:iCs/>
        </w:rPr>
        <w:t>.</w:t>
      </w:r>
    </w:p>
    <w:p w14:paraId="3F78F194" w14:textId="77777777" w:rsidR="00ED1FB0" w:rsidRDefault="00ED1FB0" w:rsidP="00ED1FB0">
      <w:pPr>
        <w:ind w:left="1304"/>
      </w:pPr>
    </w:p>
    <w:p w14:paraId="1DD898A7" w14:textId="77777777" w:rsidR="00ED1FB0" w:rsidRPr="00677D7D" w:rsidRDefault="00ED1FB0" w:rsidP="00ED1FB0">
      <w:pPr>
        <w:pStyle w:val="Liststycke"/>
        <w:numPr>
          <w:ilvl w:val="0"/>
          <w:numId w:val="37"/>
        </w:numPr>
        <w:ind w:left="1664"/>
      </w:pPr>
      <w:r w:rsidRPr="00677D7D">
        <w:t>Icke godkända utökningar av budgetram:</w:t>
      </w:r>
    </w:p>
    <w:p w14:paraId="19650900" w14:textId="77777777" w:rsidR="00ED1FB0" w:rsidRPr="00064633" w:rsidRDefault="00ED1FB0" w:rsidP="00ED1FB0">
      <w:pPr>
        <w:pStyle w:val="Liststycke"/>
        <w:numPr>
          <w:ilvl w:val="0"/>
          <w:numId w:val="39"/>
        </w:numPr>
        <w:ind w:left="2024"/>
        <w:rPr>
          <w:i/>
          <w:iCs/>
        </w:rPr>
      </w:pPr>
      <w:r w:rsidRPr="00064633">
        <w:rPr>
          <w:i/>
          <w:iCs/>
        </w:rPr>
        <w:t>Personalkostnadsökningar som inte är drivet av volymförändringar (ex. lönerevision)</w:t>
      </w:r>
      <w:r>
        <w:rPr>
          <w:i/>
          <w:iCs/>
        </w:rPr>
        <w:t>.</w:t>
      </w:r>
    </w:p>
    <w:p w14:paraId="5416FFAB" w14:textId="77777777" w:rsidR="00ED1FB0" w:rsidRPr="00064633" w:rsidRDefault="00ED1FB0" w:rsidP="00ED1FB0">
      <w:pPr>
        <w:pStyle w:val="Liststycke"/>
        <w:numPr>
          <w:ilvl w:val="0"/>
          <w:numId w:val="39"/>
        </w:numPr>
        <w:ind w:left="2024"/>
        <w:rPr>
          <w:i/>
          <w:iCs/>
        </w:rPr>
      </w:pPr>
      <w:r w:rsidRPr="00064633">
        <w:rPr>
          <w:i/>
          <w:iCs/>
        </w:rPr>
        <w:t>Ambitionsökningar som inte ingår i regionala beslut</w:t>
      </w:r>
      <w:r>
        <w:rPr>
          <w:i/>
          <w:iCs/>
        </w:rPr>
        <w:t>.</w:t>
      </w:r>
    </w:p>
    <w:p w14:paraId="115B2594" w14:textId="77777777" w:rsidR="00ED1FB0" w:rsidRPr="00064633" w:rsidRDefault="00ED1FB0" w:rsidP="00ED1FB0">
      <w:pPr>
        <w:pStyle w:val="Liststycke"/>
        <w:numPr>
          <w:ilvl w:val="0"/>
          <w:numId w:val="39"/>
        </w:numPr>
        <w:ind w:left="2024"/>
        <w:rPr>
          <w:i/>
          <w:iCs/>
        </w:rPr>
      </w:pPr>
      <w:r w:rsidRPr="00064633">
        <w:rPr>
          <w:i/>
          <w:iCs/>
        </w:rPr>
        <w:t>Retroaktiva uppräkningar för kostnadsökningar</w:t>
      </w:r>
      <w:r>
        <w:rPr>
          <w:i/>
          <w:iCs/>
        </w:rPr>
        <w:t>/underskott.</w:t>
      </w:r>
    </w:p>
    <w:p w14:paraId="70BD6C2A" w14:textId="77777777" w:rsidR="00ED1FB0" w:rsidRPr="00677D7D" w:rsidRDefault="00ED1FB0" w:rsidP="00ED1FB0"/>
    <w:p w14:paraId="2DEB7973" w14:textId="77777777" w:rsidR="00ED1FB0" w:rsidRPr="00677D7D" w:rsidRDefault="00ED1FB0" w:rsidP="00ED1FB0">
      <w:r w:rsidRPr="00677D7D">
        <w:t xml:space="preserve">Ovan principer resulterade i ett effektiviseringskrav om 39 </w:t>
      </w:r>
      <w:r>
        <w:t xml:space="preserve">miljoner kronor, </w:t>
      </w:r>
      <w:r w:rsidRPr="00677D7D">
        <w:t>motsvarande en beräknad lönerevision 2025 om 3,5</w:t>
      </w:r>
      <w:r>
        <w:t xml:space="preserve"> procent</w:t>
      </w:r>
      <w:r w:rsidRPr="00677D7D">
        <w:t>.</w:t>
      </w:r>
    </w:p>
    <w:p w14:paraId="3D9F03B9" w14:textId="77777777" w:rsidR="00ED1FB0" w:rsidRDefault="00ED1FB0" w:rsidP="00ED1FB0">
      <w:pPr>
        <w:spacing w:line="240" w:lineRule="auto"/>
        <w:textAlignment w:val="baseline"/>
      </w:pPr>
    </w:p>
    <w:p w14:paraId="185EACF9" w14:textId="77777777" w:rsidR="00ED1FB0" w:rsidRPr="00677D7D" w:rsidRDefault="00ED1FB0" w:rsidP="00ED1FB0">
      <w:pPr>
        <w:rPr>
          <w:b/>
          <w:bCs/>
        </w:rPr>
      </w:pPr>
      <w:r w:rsidRPr="00677D7D">
        <w:rPr>
          <w:b/>
          <w:bCs/>
        </w:rPr>
        <w:t>Steg 2 (Höst):</w:t>
      </w:r>
    </w:p>
    <w:p w14:paraId="031E7AFE" w14:textId="77777777" w:rsidR="00ED1FB0" w:rsidRPr="00677D7D" w:rsidRDefault="00ED1FB0" w:rsidP="00ED1FB0">
      <w:r w:rsidRPr="00677D7D">
        <w:t xml:space="preserve">Under hösten fattades individuella tilläggsbeslut om serviceförvaltningarnas budgetförutsättningar. Beslutet innebar att utifrån ovan beräkningar i steg 1, med hänsyn till Region Skånes totala förutsättningar om en ekonomi i balans, att serviceförvaltningarna fick ett utökat effektiviseringskrav inför 2025. För Regionservice resulterade detta i ett utökat effektiviseringskrav om 82 </w:t>
      </w:r>
      <w:r>
        <w:t>miljoner krono</w:t>
      </w:r>
      <w:r w:rsidRPr="00677D7D">
        <w:t xml:space="preserve">r. Inkluderat i beslutet fanns delfinansiering för bårhusverksamheten om 10 </w:t>
      </w:r>
      <w:r>
        <w:t>miljoner krono</w:t>
      </w:r>
      <w:r w:rsidRPr="00677D7D">
        <w:t xml:space="preserve">r samt överflyttning av hyreskostnader för administrativa lokaler för Dockplatsen och Rådhuset i Kristianstad från Regionfastigheter till Regionservice. </w:t>
      </w:r>
    </w:p>
    <w:p w14:paraId="43610E08" w14:textId="77777777" w:rsidR="00ED1FB0" w:rsidRPr="00677D7D" w:rsidRDefault="00ED1FB0" w:rsidP="00ED1FB0"/>
    <w:p w14:paraId="7D6425BE" w14:textId="77777777" w:rsidR="00ED1FB0" w:rsidRPr="003A0719" w:rsidRDefault="00ED1FB0" w:rsidP="00ED1FB0">
      <w:r>
        <w:t xml:space="preserve">Regionservice totala </w:t>
      </w:r>
      <w:r w:rsidRPr="00677D7D">
        <w:t>effektiviseringskrav inför budget 2025 är -121</w:t>
      </w:r>
      <w:r w:rsidRPr="003F36A4">
        <w:t xml:space="preserve"> </w:t>
      </w:r>
      <w:r>
        <w:t>miljoner krono</w:t>
      </w:r>
      <w:r w:rsidRPr="00677D7D">
        <w:t xml:space="preserve">r. Utöver effektiviseringskravet i budget har Regionservice fortsatt stora utmaningar kring finansiering av Region Skånes personalmatsalar där det årliga underskottet överstiger 7–10 </w:t>
      </w:r>
      <w:r>
        <w:t xml:space="preserve">miljoner kronor </w:t>
      </w:r>
      <w:r w:rsidRPr="00677D7D">
        <w:t>till följ</w:t>
      </w:r>
      <w:r>
        <w:t>d</w:t>
      </w:r>
      <w:r w:rsidRPr="00677D7D">
        <w:t xml:space="preserve"> av hyresnivån. Som offentlig aktör får Regionservice en mycket högre hyresnivå än en privat aktör vilken är svår att finansiera </w:t>
      </w:r>
      <w:r>
        <w:t xml:space="preserve">utifrån </w:t>
      </w:r>
      <w:r w:rsidRPr="00677D7D">
        <w:t>nuvarande försäljningsnivå</w:t>
      </w:r>
      <w:r>
        <w:t>er</w:t>
      </w:r>
      <w:r w:rsidRPr="00677D7D">
        <w:t xml:space="preserve">. </w:t>
      </w:r>
    </w:p>
    <w:p w14:paraId="0608DCE4" w14:textId="77777777" w:rsidR="00ED1FB0" w:rsidRPr="00013952" w:rsidRDefault="00ED1FB0" w:rsidP="00ED1FB0">
      <w:pPr>
        <w:rPr>
          <w:rFonts w:eastAsia="Times New Roman" w:cs="Times New Roman"/>
          <w:szCs w:val="22"/>
        </w:rPr>
      </w:pPr>
    </w:p>
    <w:p w14:paraId="1D0EDBD7" w14:textId="77777777" w:rsidR="00ED1FB0" w:rsidRPr="004529C1" w:rsidRDefault="00ED1FB0" w:rsidP="00ED1FB0">
      <w:pPr>
        <w:spacing w:line="240" w:lineRule="auto"/>
        <w:rPr>
          <w:rFonts w:ascii="Public Sans" w:eastAsia="Times New Roman" w:hAnsi="Public Sans" w:cs="Times New Roman"/>
          <w:b/>
          <w:szCs w:val="22"/>
        </w:rPr>
      </w:pPr>
      <w:r w:rsidRPr="00013952">
        <w:rPr>
          <w:rFonts w:ascii="Public Sans" w:eastAsia="Times New Roman" w:hAnsi="Public Sans" w:cs="Times New Roman"/>
          <w:b/>
          <w:szCs w:val="22"/>
        </w:rPr>
        <w:t xml:space="preserve">Finansiering </w:t>
      </w:r>
    </w:p>
    <w:tbl>
      <w:tblPr>
        <w:tblStyle w:val="Rutntstabell5mrkdekorfrg1"/>
        <w:tblW w:w="0" w:type="auto"/>
        <w:tblLook w:val="06A0" w:firstRow="1" w:lastRow="0" w:firstColumn="1" w:lastColumn="0" w:noHBand="1" w:noVBand="1"/>
      </w:tblPr>
      <w:tblGrid>
        <w:gridCol w:w="5524"/>
        <w:gridCol w:w="1836"/>
      </w:tblGrid>
      <w:tr w:rsidR="00ED1FB0" w14:paraId="5F8F6E92" w14:textId="77777777" w:rsidTr="008171FE">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5E1485BE" w14:textId="77777777" w:rsidR="00ED1FB0" w:rsidRPr="00D47A33" w:rsidRDefault="00ED1FB0" w:rsidP="008171FE">
            <w:r w:rsidRPr="00B907DF">
              <w:rPr>
                <w:sz w:val="32"/>
                <w:szCs w:val="32"/>
              </w:rPr>
              <w:t>Förändring mellan 20</w:t>
            </w:r>
            <w:r>
              <w:rPr>
                <w:sz w:val="32"/>
                <w:szCs w:val="32"/>
              </w:rPr>
              <w:t>24</w:t>
            </w:r>
            <w:r w:rsidRPr="00B907DF">
              <w:rPr>
                <w:sz w:val="32"/>
                <w:szCs w:val="32"/>
              </w:rPr>
              <w:t>–2025</w:t>
            </w:r>
          </w:p>
        </w:tc>
        <w:tc>
          <w:tcPr>
            <w:tcW w:w="1836" w:type="dxa"/>
            <w:vAlign w:val="center"/>
          </w:tcPr>
          <w:p w14:paraId="545BC488" w14:textId="77777777" w:rsidR="00ED1FB0" w:rsidRPr="00D47A33" w:rsidRDefault="00ED1FB0" w:rsidP="008171FE">
            <w:pPr>
              <w:jc w:val="center"/>
              <w:cnfStyle w:val="100000000000" w:firstRow="1" w:lastRow="0" w:firstColumn="0" w:lastColumn="0" w:oddVBand="0" w:evenVBand="0" w:oddHBand="0" w:evenHBand="0" w:firstRowFirstColumn="0" w:firstRowLastColumn="0" w:lastRowFirstColumn="0" w:lastRowLastColumn="0"/>
            </w:pPr>
            <w:r>
              <w:t>(Mkr)</w:t>
            </w:r>
          </w:p>
        </w:tc>
      </w:tr>
      <w:tr w:rsidR="00ED1FB0" w14:paraId="4A21CE01" w14:textId="77777777" w:rsidTr="008171FE">
        <w:tc>
          <w:tcPr>
            <w:cnfStyle w:val="001000000000" w:firstRow="0" w:lastRow="0" w:firstColumn="1" w:lastColumn="0" w:oddVBand="0" w:evenVBand="0" w:oddHBand="0" w:evenHBand="0" w:firstRowFirstColumn="0" w:firstRowLastColumn="0" w:lastRowFirstColumn="0" w:lastRowLastColumn="0"/>
            <w:tcW w:w="5524" w:type="dxa"/>
          </w:tcPr>
          <w:p w14:paraId="1C91B6BA" w14:textId="77777777" w:rsidR="00ED1FB0" w:rsidRPr="007740F3" w:rsidRDefault="00ED1FB0" w:rsidP="008171FE">
            <w:pPr>
              <w:tabs>
                <w:tab w:val="left" w:pos="4039"/>
              </w:tabs>
              <w:rPr>
                <w:b w:val="0"/>
                <w:bCs w:val="0"/>
              </w:rPr>
            </w:pPr>
            <w:r>
              <w:t>Budget 2025</w:t>
            </w:r>
            <w:r>
              <w:rPr>
                <w:b w:val="0"/>
                <w:bCs w:val="0"/>
              </w:rPr>
              <w:tab/>
            </w:r>
          </w:p>
        </w:tc>
        <w:tc>
          <w:tcPr>
            <w:tcW w:w="1836" w:type="dxa"/>
          </w:tcPr>
          <w:p w14:paraId="1D1BAF53" w14:textId="77777777" w:rsidR="00ED1FB0" w:rsidRDefault="00ED1FB0" w:rsidP="008171FE">
            <w:pPr>
              <w:cnfStyle w:val="000000000000" w:firstRow="0" w:lastRow="0" w:firstColumn="0" w:lastColumn="0" w:oddVBand="0" w:evenVBand="0" w:oddHBand="0" w:evenHBand="0" w:firstRowFirstColumn="0" w:firstRowLastColumn="0" w:lastRowFirstColumn="0" w:lastRowLastColumn="0"/>
            </w:pPr>
            <w:r>
              <w:t>2 471,6</w:t>
            </w:r>
          </w:p>
        </w:tc>
      </w:tr>
      <w:tr w:rsidR="00ED1FB0" w14:paraId="37385402" w14:textId="77777777" w:rsidTr="008171FE">
        <w:tc>
          <w:tcPr>
            <w:cnfStyle w:val="001000000000" w:firstRow="0" w:lastRow="0" w:firstColumn="1" w:lastColumn="0" w:oddVBand="0" w:evenVBand="0" w:oddHBand="0" w:evenHBand="0" w:firstRowFirstColumn="0" w:firstRowLastColumn="0" w:lastRowFirstColumn="0" w:lastRowLastColumn="0"/>
            <w:tcW w:w="5524" w:type="dxa"/>
            <w:vAlign w:val="center"/>
          </w:tcPr>
          <w:p w14:paraId="0DE8E7D0" w14:textId="77777777" w:rsidR="00ED1FB0" w:rsidRPr="006A70CE" w:rsidRDefault="00ED1FB0" w:rsidP="008171FE">
            <w:pPr>
              <w:rPr>
                <w:b w:val="0"/>
              </w:rPr>
            </w:pPr>
            <w:r w:rsidRPr="006A70CE">
              <w:rPr>
                <w:b w:val="0"/>
                <w:color w:val="FFFFFF"/>
              </w:rPr>
              <w:t>Uppräkning kostnader (externa)</w:t>
            </w:r>
          </w:p>
        </w:tc>
        <w:tc>
          <w:tcPr>
            <w:tcW w:w="1836" w:type="dxa"/>
            <w:vAlign w:val="center"/>
          </w:tcPr>
          <w:p w14:paraId="3B11DC2C" w14:textId="77777777" w:rsidR="00ED1FB0" w:rsidRDefault="00ED1FB0" w:rsidP="008171FE">
            <w:pPr>
              <w:cnfStyle w:val="000000000000" w:firstRow="0" w:lastRow="0" w:firstColumn="0" w:lastColumn="0" w:oddVBand="0" w:evenVBand="0" w:oddHBand="0" w:evenHBand="0" w:firstRowFirstColumn="0" w:firstRowLastColumn="0" w:lastRowFirstColumn="0" w:lastRowLastColumn="0"/>
            </w:pPr>
            <w:r>
              <w:rPr>
                <w:color w:val="000000"/>
              </w:rPr>
              <w:t>39</w:t>
            </w:r>
          </w:p>
        </w:tc>
      </w:tr>
      <w:tr w:rsidR="00ED1FB0" w14:paraId="7C6FDE28" w14:textId="77777777" w:rsidTr="008171FE">
        <w:tc>
          <w:tcPr>
            <w:cnfStyle w:val="001000000000" w:firstRow="0" w:lastRow="0" w:firstColumn="1" w:lastColumn="0" w:oddVBand="0" w:evenVBand="0" w:oddHBand="0" w:evenHBand="0" w:firstRowFirstColumn="0" w:firstRowLastColumn="0" w:lastRowFirstColumn="0" w:lastRowLastColumn="0"/>
            <w:tcW w:w="5524" w:type="dxa"/>
            <w:vAlign w:val="center"/>
          </w:tcPr>
          <w:p w14:paraId="06FBAA45" w14:textId="77777777" w:rsidR="00ED1FB0" w:rsidRPr="006A70CE" w:rsidRDefault="00ED1FB0" w:rsidP="008171FE">
            <w:pPr>
              <w:rPr>
                <w:b w:val="0"/>
                <w:bCs w:val="0"/>
              </w:rPr>
            </w:pPr>
            <w:r w:rsidRPr="006A70CE">
              <w:rPr>
                <w:b w:val="0"/>
                <w:color w:val="FFFFFF"/>
              </w:rPr>
              <w:lastRenderedPageBreak/>
              <w:t>Uppräkning kostnader (regioninterna)</w:t>
            </w:r>
          </w:p>
        </w:tc>
        <w:tc>
          <w:tcPr>
            <w:tcW w:w="1836" w:type="dxa"/>
            <w:vAlign w:val="center"/>
          </w:tcPr>
          <w:p w14:paraId="7FBFCEDD" w14:textId="77777777" w:rsidR="00ED1FB0" w:rsidRDefault="00ED1FB0" w:rsidP="008171FE">
            <w:pPr>
              <w:cnfStyle w:val="000000000000" w:firstRow="0" w:lastRow="0" w:firstColumn="0" w:lastColumn="0" w:oddVBand="0" w:evenVBand="0" w:oddHBand="0" w:evenHBand="0" w:firstRowFirstColumn="0" w:firstRowLastColumn="0" w:lastRowFirstColumn="0" w:lastRowLastColumn="0"/>
            </w:pPr>
            <w:r>
              <w:rPr>
                <w:color w:val="000000"/>
              </w:rPr>
              <w:t>78,8</w:t>
            </w:r>
          </w:p>
        </w:tc>
      </w:tr>
      <w:tr w:rsidR="00ED1FB0" w14:paraId="31D99761" w14:textId="77777777" w:rsidTr="008171FE">
        <w:tc>
          <w:tcPr>
            <w:cnfStyle w:val="001000000000" w:firstRow="0" w:lastRow="0" w:firstColumn="1" w:lastColumn="0" w:oddVBand="0" w:evenVBand="0" w:oddHBand="0" w:evenHBand="0" w:firstRowFirstColumn="0" w:firstRowLastColumn="0" w:lastRowFirstColumn="0" w:lastRowLastColumn="0"/>
            <w:tcW w:w="5524" w:type="dxa"/>
            <w:vAlign w:val="center"/>
          </w:tcPr>
          <w:p w14:paraId="6AAA97B2" w14:textId="77777777" w:rsidR="00ED1FB0" w:rsidRPr="006A70CE" w:rsidRDefault="00ED1FB0" w:rsidP="008171FE">
            <w:pPr>
              <w:rPr>
                <w:b w:val="0"/>
                <w:bCs w:val="0"/>
              </w:rPr>
            </w:pPr>
            <w:r w:rsidRPr="006A70CE">
              <w:rPr>
                <w:b w:val="0"/>
                <w:color w:val="FFFFFF"/>
              </w:rPr>
              <w:t>Uppräkning externa avtal</w:t>
            </w:r>
          </w:p>
        </w:tc>
        <w:tc>
          <w:tcPr>
            <w:tcW w:w="1836" w:type="dxa"/>
            <w:vAlign w:val="center"/>
          </w:tcPr>
          <w:p w14:paraId="2D8A688C" w14:textId="77777777" w:rsidR="00ED1FB0" w:rsidRDefault="00ED1FB0" w:rsidP="008171FE">
            <w:pPr>
              <w:cnfStyle w:val="000000000000" w:firstRow="0" w:lastRow="0" w:firstColumn="0" w:lastColumn="0" w:oddVBand="0" w:evenVBand="0" w:oddHBand="0" w:evenHBand="0" w:firstRowFirstColumn="0" w:firstRowLastColumn="0" w:lastRowFirstColumn="0" w:lastRowLastColumn="0"/>
            </w:pPr>
            <w:r>
              <w:rPr>
                <w:color w:val="000000"/>
              </w:rPr>
              <w:t>18</w:t>
            </w:r>
          </w:p>
        </w:tc>
      </w:tr>
      <w:tr w:rsidR="00ED1FB0" w14:paraId="7337E4B2" w14:textId="77777777" w:rsidTr="008171FE">
        <w:tc>
          <w:tcPr>
            <w:cnfStyle w:val="001000000000" w:firstRow="0" w:lastRow="0" w:firstColumn="1" w:lastColumn="0" w:oddVBand="0" w:evenVBand="0" w:oddHBand="0" w:evenHBand="0" w:firstRowFirstColumn="0" w:firstRowLastColumn="0" w:lastRowFirstColumn="0" w:lastRowLastColumn="0"/>
            <w:tcW w:w="5524" w:type="dxa"/>
            <w:vAlign w:val="center"/>
          </w:tcPr>
          <w:p w14:paraId="039139E3" w14:textId="77777777" w:rsidR="00ED1FB0" w:rsidRPr="006A70CE" w:rsidRDefault="00ED1FB0" w:rsidP="008171FE">
            <w:pPr>
              <w:rPr>
                <w:b w:val="0"/>
                <w:bCs w:val="0"/>
              </w:rPr>
            </w:pPr>
            <w:r w:rsidRPr="006A70CE">
              <w:rPr>
                <w:b w:val="0"/>
                <w:color w:val="FFFFFF"/>
              </w:rPr>
              <w:t>Uppräkning intäkter (externa)</w:t>
            </w:r>
          </w:p>
        </w:tc>
        <w:tc>
          <w:tcPr>
            <w:tcW w:w="1836" w:type="dxa"/>
            <w:vAlign w:val="center"/>
          </w:tcPr>
          <w:p w14:paraId="75665E2D" w14:textId="77777777" w:rsidR="00ED1FB0" w:rsidRDefault="00ED1FB0" w:rsidP="008171FE">
            <w:pPr>
              <w:cnfStyle w:val="000000000000" w:firstRow="0" w:lastRow="0" w:firstColumn="0" w:lastColumn="0" w:oddVBand="0" w:evenVBand="0" w:oddHBand="0" w:evenHBand="0" w:firstRowFirstColumn="0" w:firstRowLastColumn="0" w:lastRowFirstColumn="0" w:lastRowLastColumn="0"/>
            </w:pPr>
            <w:r>
              <w:rPr>
                <w:color w:val="000000"/>
              </w:rPr>
              <w:t>10</w:t>
            </w:r>
          </w:p>
        </w:tc>
      </w:tr>
      <w:tr w:rsidR="00ED1FB0" w14:paraId="31EBC486" w14:textId="77777777" w:rsidTr="008171FE">
        <w:tc>
          <w:tcPr>
            <w:cnfStyle w:val="001000000000" w:firstRow="0" w:lastRow="0" w:firstColumn="1" w:lastColumn="0" w:oddVBand="0" w:evenVBand="0" w:oddHBand="0" w:evenHBand="0" w:firstRowFirstColumn="0" w:firstRowLastColumn="0" w:lastRowFirstColumn="0" w:lastRowLastColumn="0"/>
            <w:tcW w:w="5524" w:type="dxa"/>
            <w:vAlign w:val="center"/>
          </w:tcPr>
          <w:p w14:paraId="424D86B6" w14:textId="77777777" w:rsidR="00ED1FB0" w:rsidRPr="006A70CE" w:rsidRDefault="00ED1FB0" w:rsidP="008171FE">
            <w:pPr>
              <w:rPr>
                <w:b w:val="0"/>
                <w:bCs w:val="0"/>
              </w:rPr>
            </w:pPr>
            <w:r w:rsidRPr="006A70CE">
              <w:rPr>
                <w:b w:val="0"/>
                <w:color w:val="FFFFFF"/>
              </w:rPr>
              <w:t>Förändring volym (befintlig leverans)</w:t>
            </w:r>
          </w:p>
        </w:tc>
        <w:tc>
          <w:tcPr>
            <w:tcW w:w="1836" w:type="dxa"/>
            <w:vAlign w:val="center"/>
          </w:tcPr>
          <w:p w14:paraId="3335CC4F" w14:textId="77777777" w:rsidR="00ED1FB0" w:rsidRDefault="00ED1FB0" w:rsidP="008171FE">
            <w:pPr>
              <w:cnfStyle w:val="000000000000" w:firstRow="0" w:lastRow="0" w:firstColumn="0" w:lastColumn="0" w:oddVBand="0" w:evenVBand="0" w:oddHBand="0" w:evenHBand="0" w:firstRowFirstColumn="0" w:firstRowLastColumn="0" w:lastRowFirstColumn="0" w:lastRowLastColumn="0"/>
            </w:pPr>
            <w:r>
              <w:rPr>
                <w:color w:val="000000"/>
              </w:rPr>
              <w:t>23,2</w:t>
            </w:r>
          </w:p>
        </w:tc>
      </w:tr>
      <w:tr w:rsidR="00ED1FB0" w14:paraId="346C849A" w14:textId="77777777" w:rsidTr="008171FE">
        <w:tc>
          <w:tcPr>
            <w:cnfStyle w:val="001000000000" w:firstRow="0" w:lastRow="0" w:firstColumn="1" w:lastColumn="0" w:oddVBand="0" w:evenVBand="0" w:oddHBand="0" w:evenHBand="0" w:firstRowFirstColumn="0" w:firstRowLastColumn="0" w:lastRowFirstColumn="0" w:lastRowLastColumn="0"/>
            <w:tcW w:w="5524" w:type="dxa"/>
            <w:vAlign w:val="center"/>
          </w:tcPr>
          <w:p w14:paraId="3CDF09A5" w14:textId="77777777" w:rsidR="00ED1FB0" w:rsidRPr="006A70CE" w:rsidRDefault="00ED1FB0" w:rsidP="008171FE">
            <w:pPr>
              <w:rPr>
                <w:b w:val="0"/>
                <w:bCs w:val="0"/>
              </w:rPr>
            </w:pPr>
            <w:r w:rsidRPr="006A70CE">
              <w:rPr>
                <w:b w:val="0"/>
                <w:color w:val="FFFFFF"/>
              </w:rPr>
              <w:t>Nya uppdrag (ökade tjänsteförsäljning)</w:t>
            </w:r>
          </w:p>
        </w:tc>
        <w:tc>
          <w:tcPr>
            <w:tcW w:w="1836" w:type="dxa"/>
            <w:vAlign w:val="center"/>
          </w:tcPr>
          <w:p w14:paraId="5381C4EC" w14:textId="77777777" w:rsidR="00ED1FB0" w:rsidRDefault="00ED1FB0" w:rsidP="008171FE">
            <w:pPr>
              <w:cnfStyle w:val="000000000000" w:firstRow="0" w:lastRow="0" w:firstColumn="0" w:lastColumn="0" w:oddVBand="0" w:evenVBand="0" w:oddHBand="0" w:evenHBand="0" w:firstRowFirstColumn="0" w:firstRowLastColumn="0" w:lastRowFirstColumn="0" w:lastRowLastColumn="0"/>
            </w:pPr>
            <w:r>
              <w:rPr>
                <w:color w:val="000000"/>
              </w:rPr>
              <w:t>41,7</w:t>
            </w:r>
          </w:p>
        </w:tc>
      </w:tr>
      <w:tr w:rsidR="00ED1FB0" w14:paraId="6C0FD131" w14:textId="77777777" w:rsidTr="008171FE">
        <w:tc>
          <w:tcPr>
            <w:cnfStyle w:val="001000000000" w:firstRow="0" w:lastRow="0" w:firstColumn="1" w:lastColumn="0" w:oddVBand="0" w:evenVBand="0" w:oddHBand="0" w:evenHBand="0" w:firstRowFirstColumn="0" w:firstRowLastColumn="0" w:lastRowFirstColumn="0" w:lastRowLastColumn="0"/>
            <w:tcW w:w="5524" w:type="dxa"/>
            <w:vAlign w:val="center"/>
          </w:tcPr>
          <w:p w14:paraId="4227CCE1" w14:textId="77777777" w:rsidR="00ED1FB0" w:rsidRPr="006A70CE" w:rsidRDefault="00ED1FB0" w:rsidP="008171FE">
            <w:pPr>
              <w:rPr>
                <w:b w:val="0"/>
                <w:bCs w:val="0"/>
              </w:rPr>
            </w:pPr>
            <w:r w:rsidRPr="006A70CE">
              <w:rPr>
                <w:b w:val="0"/>
                <w:color w:val="FFFFFF"/>
              </w:rPr>
              <w:t>Verksamhetsflytt (adm. lokaler)</w:t>
            </w:r>
          </w:p>
        </w:tc>
        <w:tc>
          <w:tcPr>
            <w:tcW w:w="1836" w:type="dxa"/>
            <w:vAlign w:val="center"/>
          </w:tcPr>
          <w:p w14:paraId="0BEBB1C7" w14:textId="77777777" w:rsidR="00ED1FB0" w:rsidRDefault="00ED1FB0" w:rsidP="008171FE">
            <w:pPr>
              <w:cnfStyle w:val="000000000000" w:firstRow="0" w:lastRow="0" w:firstColumn="0" w:lastColumn="0" w:oddVBand="0" w:evenVBand="0" w:oddHBand="0" w:evenHBand="0" w:firstRowFirstColumn="0" w:firstRowLastColumn="0" w:lastRowFirstColumn="0" w:lastRowLastColumn="0"/>
            </w:pPr>
            <w:r>
              <w:rPr>
                <w:color w:val="000000"/>
              </w:rPr>
              <w:t>35</w:t>
            </w:r>
          </w:p>
        </w:tc>
      </w:tr>
      <w:tr w:rsidR="00ED1FB0" w14:paraId="7E458D0F" w14:textId="77777777" w:rsidTr="008171FE">
        <w:tc>
          <w:tcPr>
            <w:cnfStyle w:val="001000000000" w:firstRow="0" w:lastRow="0" w:firstColumn="1" w:lastColumn="0" w:oddVBand="0" w:evenVBand="0" w:oddHBand="0" w:evenHBand="0" w:firstRowFirstColumn="0" w:firstRowLastColumn="0" w:lastRowFirstColumn="0" w:lastRowLastColumn="0"/>
            <w:tcW w:w="5524" w:type="dxa"/>
            <w:vAlign w:val="center"/>
          </w:tcPr>
          <w:p w14:paraId="35D943F4" w14:textId="77777777" w:rsidR="00ED1FB0" w:rsidRPr="006A70CE" w:rsidRDefault="00ED1FB0" w:rsidP="008171FE">
            <w:pPr>
              <w:rPr>
                <w:b w:val="0"/>
                <w:bCs w:val="0"/>
              </w:rPr>
            </w:pPr>
            <w:r w:rsidRPr="006A70CE">
              <w:rPr>
                <w:b w:val="0"/>
                <w:color w:val="FFFFFF"/>
              </w:rPr>
              <w:t>Finansiering Bårhus</w:t>
            </w:r>
          </w:p>
        </w:tc>
        <w:tc>
          <w:tcPr>
            <w:tcW w:w="1836" w:type="dxa"/>
            <w:vAlign w:val="center"/>
          </w:tcPr>
          <w:p w14:paraId="6B10CAEB" w14:textId="77777777" w:rsidR="00ED1FB0" w:rsidRDefault="00ED1FB0" w:rsidP="008171FE">
            <w:pPr>
              <w:cnfStyle w:val="000000000000" w:firstRow="0" w:lastRow="0" w:firstColumn="0" w:lastColumn="0" w:oddVBand="0" w:evenVBand="0" w:oddHBand="0" w:evenHBand="0" w:firstRowFirstColumn="0" w:firstRowLastColumn="0" w:lastRowFirstColumn="0" w:lastRowLastColumn="0"/>
            </w:pPr>
            <w:r>
              <w:rPr>
                <w:color w:val="000000"/>
              </w:rPr>
              <w:t>10</w:t>
            </w:r>
          </w:p>
        </w:tc>
      </w:tr>
      <w:tr w:rsidR="00ED1FB0" w14:paraId="7EE7A17A" w14:textId="77777777" w:rsidTr="008171FE">
        <w:tc>
          <w:tcPr>
            <w:cnfStyle w:val="001000000000" w:firstRow="0" w:lastRow="0" w:firstColumn="1" w:lastColumn="0" w:oddVBand="0" w:evenVBand="0" w:oddHBand="0" w:evenHBand="0" w:firstRowFirstColumn="0" w:firstRowLastColumn="0" w:lastRowFirstColumn="0" w:lastRowLastColumn="0"/>
            <w:tcW w:w="5524" w:type="dxa"/>
            <w:vAlign w:val="center"/>
          </w:tcPr>
          <w:p w14:paraId="4D4163AC" w14:textId="77777777" w:rsidR="00ED1FB0" w:rsidRPr="006A70CE" w:rsidRDefault="00ED1FB0" w:rsidP="008171FE">
            <w:pPr>
              <w:rPr>
                <w:b w:val="0"/>
                <w:bCs w:val="0"/>
              </w:rPr>
            </w:pPr>
            <w:r w:rsidRPr="006A70CE">
              <w:rPr>
                <w:b w:val="0"/>
                <w:color w:val="FFFFFF"/>
              </w:rPr>
              <w:t>Övriga justeringar</w:t>
            </w:r>
          </w:p>
        </w:tc>
        <w:tc>
          <w:tcPr>
            <w:tcW w:w="1836" w:type="dxa"/>
            <w:vAlign w:val="center"/>
          </w:tcPr>
          <w:p w14:paraId="609994A0" w14:textId="77777777" w:rsidR="00ED1FB0" w:rsidRDefault="00ED1FB0" w:rsidP="008171FE">
            <w:pPr>
              <w:cnfStyle w:val="000000000000" w:firstRow="0" w:lastRow="0" w:firstColumn="0" w:lastColumn="0" w:oddVBand="0" w:evenVBand="0" w:oddHBand="0" w:evenHBand="0" w:firstRowFirstColumn="0" w:firstRowLastColumn="0" w:lastRowFirstColumn="0" w:lastRowLastColumn="0"/>
            </w:pPr>
            <w:r>
              <w:rPr>
                <w:color w:val="000000"/>
              </w:rPr>
              <w:t>0</w:t>
            </w:r>
          </w:p>
        </w:tc>
      </w:tr>
      <w:tr w:rsidR="00ED1FB0" w14:paraId="36DFD50C" w14:textId="77777777" w:rsidTr="008171FE">
        <w:tc>
          <w:tcPr>
            <w:cnfStyle w:val="001000000000" w:firstRow="0" w:lastRow="0" w:firstColumn="1" w:lastColumn="0" w:oddVBand="0" w:evenVBand="0" w:oddHBand="0" w:evenHBand="0" w:firstRowFirstColumn="0" w:firstRowLastColumn="0" w:lastRowFirstColumn="0" w:lastRowLastColumn="0"/>
            <w:tcW w:w="5524" w:type="dxa"/>
            <w:vAlign w:val="center"/>
          </w:tcPr>
          <w:p w14:paraId="172ABFFB" w14:textId="77777777" w:rsidR="00ED1FB0" w:rsidRPr="006A70CE" w:rsidRDefault="00ED1FB0" w:rsidP="008171FE">
            <w:pPr>
              <w:rPr>
                <w:b w:val="0"/>
                <w:color w:val="FFFFFF"/>
              </w:rPr>
            </w:pPr>
            <w:r w:rsidRPr="006A70CE">
              <w:rPr>
                <w:b w:val="0"/>
                <w:color w:val="FFFFFF"/>
              </w:rPr>
              <w:t>Effektiviseringskrav</w:t>
            </w:r>
          </w:p>
        </w:tc>
        <w:tc>
          <w:tcPr>
            <w:tcW w:w="1836" w:type="dxa"/>
            <w:vAlign w:val="center"/>
          </w:tcPr>
          <w:p w14:paraId="5E13C0FF" w14:textId="77777777" w:rsidR="00ED1FB0" w:rsidRDefault="00ED1FB0" w:rsidP="008171FE">
            <w:pPr>
              <w:cnfStyle w:val="000000000000" w:firstRow="0" w:lastRow="0" w:firstColumn="0" w:lastColumn="0" w:oddVBand="0" w:evenVBand="0" w:oddHBand="0" w:evenHBand="0" w:firstRowFirstColumn="0" w:firstRowLastColumn="0" w:lastRowFirstColumn="0" w:lastRowLastColumn="0"/>
            </w:pPr>
            <w:r>
              <w:rPr>
                <w:color w:val="000000"/>
              </w:rPr>
              <w:t>- 121</w:t>
            </w:r>
          </w:p>
        </w:tc>
      </w:tr>
    </w:tbl>
    <w:p w14:paraId="43FD021A" w14:textId="77777777" w:rsidR="00ED1FB0" w:rsidRPr="00672C4D" w:rsidRDefault="00ED1FB0" w:rsidP="00ED1FB0">
      <w:pPr>
        <w:pStyle w:val="Bildtabellbeskrivning"/>
        <w:rPr>
          <w:lang w:val="sv" w:eastAsia="en-US"/>
        </w:rPr>
      </w:pPr>
      <w:r w:rsidRPr="00672C4D">
        <w:rPr>
          <w:lang w:val="sv" w:eastAsia="en-US"/>
        </w:rPr>
        <w:t>Tabellbeskrivning: Föränd</w:t>
      </w:r>
      <w:r>
        <w:rPr>
          <w:lang w:val="sv" w:eastAsia="en-US"/>
        </w:rPr>
        <w:t>ring av budgetposter mellan 2024–2025</w:t>
      </w:r>
    </w:p>
    <w:p w14:paraId="5C4689FE" w14:textId="77777777" w:rsidR="00ED1FB0" w:rsidRDefault="00ED1FB0" w:rsidP="00ED1FB0">
      <w:pPr>
        <w:rPr>
          <w:lang w:val="sv"/>
        </w:rPr>
      </w:pPr>
    </w:p>
    <w:p w14:paraId="1928BA5B" w14:textId="77777777" w:rsidR="00ED1FB0" w:rsidRPr="00673356" w:rsidRDefault="00ED1FB0" w:rsidP="00ED1FB0">
      <w:r w:rsidRPr="00016F3E">
        <w:t xml:space="preserve">Uppräkningar har gjorts för förväntad lönerevision, regioninterna kostnadsuppräkningar från andra förvaltningar samt avtalsenliga </w:t>
      </w:r>
      <w:r w:rsidRPr="00673356">
        <w:t>uppräkningar för externa avtal</w:t>
      </w:r>
    </w:p>
    <w:p w14:paraId="4A81E9CF" w14:textId="77777777" w:rsidR="00ED1FB0" w:rsidRPr="00673356" w:rsidRDefault="00ED1FB0" w:rsidP="00ED1FB0">
      <w:r w:rsidRPr="00673356">
        <w:t xml:space="preserve"> </w:t>
      </w:r>
    </w:p>
    <w:p w14:paraId="74F37F3D" w14:textId="77777777" w:rsidR="00ED1FB0" w:rsidRPr="00673356" w:rsidRDefault="00ED1FB0" w:rsidP="00ED1FB0">
      <w:r w:rsidRPr="00673356">
        <w:t xml:space="preserve">Finansiering har även utökats med förändrade uppdrag och volymförändringar (ökad tjänsteförsäljning), totalt motsvarande 64,9 miljoner kronor. </w:t>
      </w:r>
      <w:r>
        <w:t>Volymf</w:t>
      </w:r>
      <w:r w:rsidRPr="00673356">
        <w:t>örändringarna driv</w:t>
      </w:r>
      <w:r>
        <w:t>s</w:t>
      </w:r>
      <w:r w:rsidRPr="00673356">
        <w:t xml:space="preserve"> av Regionservice kunder och innehåller </w:t>
      </w:r>
      <w:r>
        <w:t xml:space="preserve">bland annat </w:t>
      </w:r>
      <w:r w:rsidRPr="00673356">
        <w:t xml:space="preserve">införandet av </w:t>
      </w:r>
      <w:r>
        <w:t>s</w:t>
      </w:r>
      <w:r w:rsidRPr="00673356">
        <w:t>ervicevärdar på SUS Lund, utökade uppdrag för byggnad 35 på SUS Malmö, utökade uppdrag och uppgiftsväxling inom VO Gemensam servicefunktion samt löpande beställningar från kund.</w:t>
      </w:r>
    </w:p>
    <w:p w14:paraId="3C654D95" w14:textId="77777777" w:rsidR="00ED1FB0" w:rsidRPr="00673356" w:rsidRDefault="00ED1FB0" w:rsidP="00ED1FB0"/>
    <w:p w14:paraId="155E21E0" w14:textId="77777777" w:rsidR="00ED1FB0" w:rsidRPr="00673356" w:rsidRDefault="00ED1FB0" w:rsidP="00ED1FB0">
      <w:r>
        <w:t>Därutöver har d</w:t>
      </w:r>
      <w:r w:rsidRPr="00673356">
        <w:t xml:space="preserve">elfinansiering </w:t>
      </w:r>
      <w:r>
        <w:t xml:space="preserve">om 10 miljoner kronor </w:t>
      </w:r>
      <w:r w:rsidRPr="00673356">
        <w:t>för bårhusverksamheten tillförts</w:t>
      </w:r>
      <w:r>
        <w:t xml:space="preserve">, </w:t>
      </w:r>
      <w:r w:rsidRPr="00673356">
        <w:t>vilket motsvarar gap</w:t>
      </w:r>
      <w:r>
        <w:t>et</w:t>
      </w:r>
      <w:r w:rsidRPr="00673356">
        <w:t xml:space="preserve"> mellan kostnaden för verksamheten och den finansiering Regionservice tidigare haft inom befintlig ram.</w:t>
      </w:r>
    </w:p>
    <w:p w14:paraId="5746528F" w14:textId="77777777" w:rsidR="00ED1FB0" w:rsidRPr="00673356" w:rsidRDefault="00ED1FB0" w:rsidP="00ED1FB0"/>
    <w:p w14:paraId="3FDA1D07" w14:textId="77777777" w:rsidR="00ED1FB0" w:rsidRPr="00673356" w:rsidRDefault="00ED1FB0" w:rsidP="00ED1FB0">
      <w:r w:rsidRPr="00673356">
        <w:t xml:space="preserve">I budget har även hyresgästansvaret för de administrativa lokalerna på Dockplatsen och Rådhuset i Kristianstad överförts till Regionservice. Praktiskt innebär detta att debiteringen för hyran flyttas från Regionfastigheter till Regionservice ut mot kund. Förflyttningen innebär ingen kostnadsökning för kund utan flyttar endast hyresavtalet i den fortsatta resan mot utveckling av våra administrativa lokaler. </w:t>
      </w:r>
    </w:p>
    <w:p w14:paraId="2D9870A8" w14:textId="77777777" w:rsidR="00ED1FB0" w:rsidRPr="00673356" w:rsidRDefault="00ED1FB0" w:rsidP="00ED1FB0"/>
    <w:p w14:paraId="4C26B213" w14:textId="77777777" w:rsidR="00ED1FB0" w:rsidRDefault="00ED1FB0" w:rsidP="00ED1FB0">
      <w:r w:rsidRPr="00673356">
        <w:lastRenderedPageBreak/>
        <w:t>Ovan förändringar innebär ett totalt effektiviseringskrav</w:t>
      </w:r>
      <w:r>
        <w:t xml:space="preserve"> för Regionservice på </w:t>
      </w:r>
      <w:r w:rsidRPr="00673356">
        <w:t xml:space="preserve">121 </w:t>
      </w:r>
      <w:r>
        <w:t>miljoner krono</w:t>
      </w:r>
      <w:r w:rsidRPr="00677D7D">
        <w:t>r</w:t>
      </w:r>
      <w:r w:rsidRPr="00673356">
        <w:t xml:space="preserve"> för 2025.</w:t>
      </w:r>
    </w:p>
    <w:p w14:paraId="038A62F7" w14:textId="77777777" w:rsidR="00ED1FB0" w:rsidRDefault="00ED1FB0" w:rsidP="00ED1FB0">
      <w:pPr>
        <w:rPr>
          <w:b/>
          <w:bCs/>
        </w:rPr>
      </w:pPr>
    </w:p>
    <w:p w14:paraId="6F034BF5" w14:textId="77777777" w:rsidR="00ED1FB0" w:rsidRPr="00E43A22" w:rsidRDefault="00ED1FB0" w:rsidP="00ED1FB0">
      <w:pPr>
        <w:rPr>
          <w:b/>
          <w:bCs/>
        </w:rPr>
      </w:pPr>
      <w:r w:rsidRPr="00E43A22">
        <w:rPr>
          <w:b/>
          <w:bCs/>
        </w:rPr>
        <w:t>Intäkter</w:t>
      </w:r>
    </w:p>
    <w:p w14:paraId="6C85F8FA" w14:textId="77777777" w:rsidR="00ED1FB0" w:rsidRDefault="00ED1FB0" w:rsidP="00ED1FB0">
      <w:pPr>
        <w:pStyle w:val="Bildtabellbeskrivning"/>
        <w:jc w:val="center"/>
        <w:rPr>
          <w:lang w:val="sv"/>
        </w:rPr>
      </w:pPr>
      <w:r>
        <w:rPr>
          <w:noProof/>
          <w:color w:val="auto"/>
        </w:rPr>
        <w:drawing>
          <wp:inline distT="0" distB="0" distL="0" distR="0" wp14:anchorId="77AE40DD" wp14:editId="72FB4502">
            <wp:extent cx="5759450" cy="2635250"/>
            <wp:effectExtent l="0" t="0" r="0" b="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606E84">
        <w:rPr>
          <w:lang w:val="sv"/>
        </w:rPr>
        <w:t xml:space="preserve"> </w:t>
      </w:r>
    </w:p>
    <w:p w14:paraId="6AAD7C23" w14:textId="77777777" w:rsidR="00ED1FB0" w:rsidRDefault="00ED1FB0" w:rsidP="00ED1FB0">
      <w:pPr>
        <w:pStyle w:val="Bildtabellbeskrivning"/>
        <w:rPr>
          <w:lang w:val="sv" w:eastAsia="en-US"/>
        </w:rPr>
      </w:pPr>
      <w:r w:rsidRPr="00606E84">
        <w:rPr>
          <w:lang w:val="sv" w:eastAsia="en-US"/>
        </w:rPr>
        <w:t xml:space="preserve">Diagrambeskrivning: Fördelning av den fasta ersättningen per förvaltning, totalt </w:t>
      </w:r>
      <w:r>
        <w:rPr>
          <w:lang w:val="sv" w:eastAsia="en-US"/>
        </w:rPr>
        <w:t>2 471,6</w:t>
      </w:r>
      <w:r w:rsidRPr="00606E84">
        <w:rPr>
          <w:lang w:val="sv" w:eastAsia="en-US"/>
        </w:rPr>
        <w:t xml:space="preserve"> </w:t>
      </w:r>
      <w:r>
        <w:rPr>
          <w:lang w:val="sv" w:eastAsia="en-US"/>
        </w:rPr>
        <w:t xml:space="preserve">miljoner kronor. </w:t>
      </w:r>
    </w:p>
    <w:p w14:paraId="1C804B85" w14:textId="77777777" w:rsidR="00ED1FB0" w:rsidRPr="00AB0661" w:rsidRDefault="00ED1FB0" w:rsidP="00ED1FB0"/>
    <w:p w14:paraId="00DDEA03" w14:textId="77777777" w:rsidR="00ED1FB0" w:rsidRPr="00AB0661" w:rsidRDefault="00ED1FB0" w:rsidP="00ED1FB0">
      <w:r w:rsidRPr="00AB0661">
        <w:t xml:space="preserve">Merparten av Regionservice finansiering kommer från andra förvaltningar inom Region Skåne där sjukvårdsförvaltningarna utgör den absolut största andelen. </w:t>
      </w:r>
    </w:p>
    <w:p w14:paraId="5C672D82" w14:textId="77777777" w:rsidR="00ED1FB0" w:rsidRDefault="00ED1FB0" w:rsidP="00ED1FB0">
      <w:pPr>
        <w:rPr>
          <w:b/>
          <w:bCs/>
        </w:rPr>
      </w:pPr>
    </w:p>
    <w:p w14:paraId="7D49CBCF" w14:textId="77777777" w:rsidR="00ED1FB0" w:rsidRPr="00E43A22" w:rsidRDefault="00ED1FB0" w:rsidP="00ED1FB0">
      <w:pPr>
        <w:rPr>
          <w:b/>
          <w:bCs/>
        </w:rPr>
      </w:pPr>
      <w:r w:rsidRPr="00E43A22">
        <w:rPr>
          <w:b/>
          <w:bCs/>
        </w:rPr>
        <w:t>Kostnader</w:t>
      </w:r>
    </w:p>
    <w:p w14:paraId="131CCBF9" w14:textId="77777777" w:rsidR="00ED1FB0" w:rsidRDefault="00ED1FB0" w:rsidP="00ED1FB0">
      <w:r>
        <w:rPr>
          <w:noProof/>
          <w:lang w:eastAsia="sv-SE"/>
        </w:rPr>
        <w:drawing>
          <wp:inline distT="0" distB="0" distL="0" distR="0" wp14:anchorId="2C935F21" wp14:editId="2CB54324">
            <wp:extent cx="5448300" cy="1873250"/>
            <wp:effectExtent l="0" t="0" r="0" b="0"/>
            <wp:docPr id="660706069" name="Diagram 6607060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2C9C807" w14:textId="77777777" w:rsidR="00ED1FB0" w:rsidRDefault="00ED1FB0" w:rsidP="00ED1FB0">
      <w:pPr>
        <w:pStyle w:val="Bildtabellbeskrivning"/>
        <w:rPr>
          <w:lang w:val="sv" w:eastAsia="en-US"/>
        </w:rPr>
      </w:pPr>
      <w:r w:rsidRPr="00606E84">
        <w:rPr>
          <w:lang w:val="sv" w:eastAsia="en-US"/>
        </w:rPr>
        <w:t xml:space="preserve">Diagrambeskrivning: </w:t>
      </w:r>
      <w:r>
        <w:rPr>
          <w:lang w:val="sv" w:eastAsia="en-US"/>
        </w:rPr>
        <w:t xml:space="preserve">Fördelning av kostnader i budget 2025, totalt 2471,6 miljoner kronor. </w:t>
      </w:r>
    </w:p>
    <w:p w14:paraId="220B93B4" w14:textId="77777777" w:rsidR="00ED1FB0" w:rsidRDefault="00ED1FB0" w:rsidP="00ED1FB0">
      <w:pPr>
        <w:pStyle w:val="Brdtextinlaga"/>
        <w:rPr>
          <w:rFonts w:eastAsia="Times New Roman" w:cs="Times New Roman"/>
          <w:color w:val="auto"/>
          <w:sz w:val="24"/>
        </w:rPr>
      </w:pPr>
    </w:p>
    <w:p w14:paraId="312E2E18" w14:textId="77777777" w:rsidR="00ED1FB0" w:rsidRPr="003A60E1" w:rsidRDefault="00ED1FB0" w:rsidP="00ED1FB0">
      <w:r w:rsidRPr="003A60E1">
        <w:t>Merparten av Regionservice kostnader består av personalkostnader, fastighetsrelaterade kostnader samt kostnader för material.</w:t>
      </w:r>
    </w:p>
    <w:p w14:paraId="53AB100E" w14:textId="77777777" w:rsidR="00ED1FB0" w:rsidRPr="003A60E1" w:rsidRDefault="00ED1FB0" w:rsidP="00ED1FB0"/>
    <w:p w14:paraId="6493D1E9" w14:textId="77777777" w:rsidR="00ED1FB0" w:rsidRPr="00FC366D" w:rsidRDefault="00ED1FB0" w:rsidP="00ED1FB0">
      <w:r w:rsidRPr="003A60E1">
        <w:lastRenderedPageBreak/>
        <w:t>Kostnaderna i budget är uppräknade enligt budgetförutsättningarna för förändringar i volym samt pris</w:t>
      </w:r>
      <w:r>
        <w:t>, det vill säga ut</w:t>
      </w:r>
      <w:r w:rsidRPr="003A60E1">
        <w:t>ök</w:t>
      </w:r>
      <w:r>
        <w:t>ning i</w:t>
      </w:r>
      <w:r w:rsidRPr="003A60E1">
        <w:t xml:space="preserve"> uppdrag</w:t>
      </w:r>
      <w:r>
        <w:t xml:space="preserve"> samt </w:t>
      </w:r>
      <w:r w:rsidRPr="003A60E1">
        <w:t xml:space="preserve">ökade kostnader. Uppräkningarna för pris förväntas inte täcka Regionservice beräknade behov utan har medfört ett effektiviseringskrav om 121 </w:t>
      </w:r>
      <w:r>
        <w:t>miljoner krono</w:t>
      </w:r>
      <w:r w:rsidRPr="00677D7D">
        <w:t>r</w:t>
      </w:r>
      <w:r w:rsidRPr="003A60E1">
        <w:t xml:space="preserve"> för 2025. Åtgärdsplan för effektiviseringskravet kommer tas fram.</w:t>
      </w:r>
    </w:p>
    <w:p w14:paraId="15E8B5E8" w14:textId="77777777" w:rsidR="00ED1FB0" w:rsidRDefault="00ED1FB0" w:rsidP="00ED1FB0">
      <w:pPr>
        <w:rPr>
          <w:b/>
          <w:bCs/>
        </w:rPr>
      </w:pPr>
    </w:p>
    <w:p w14:paraId="1B974C17" w14:textId="77777777" w:rsidR="00ED1FB0" w:rsidRPr="00D90C1F" w:rsidRDefault="00ED1FB0" w:rsidP="00ED1FB0">
      <w:pPr>
        <w:rPr>
          <w:b/>
          <w:bCs/>
        </w:rPr>
      </w:pPr>
      <w:r w:rsidRPr="00E61948">
        <w:rPr>
          <w:b/>
          <w:bCs/>
        </w:rPr>
        <w:t xml:space="preserve">Effektiviseringskrav </w:t>
      </w:r>
    </w:p>
    <w:p w14:paraId="164EDAC9" w14:textId="77777777" w:rsidR="00ED1FB0" w:rsidRPr="004153A1" w:rsidRDefault="00ED1FB0" w:rsidP="00ED1FB0">
      <w:r w:rsidRPr="004153A1">
        <w:t>Regionservice har under det senaste året arbetat aktivt med att motverka och sänka kostnadsutvecklingen inom förvaltningen. Förvaltningen har fokuserat på långsiktiga åtgärder och att genom verksamhetsutveckling nå en långsiktigt stark ekonomi, dels genom en utökad servicenivå för kunder dels genom att frigöra tid för vården. Målet för 2024 var satt till ett effektiviseringskrav om 50 miljoner kronor. Arbetet med effektiviseringar utgick från respektive tjänsteområde där ledningssystemet anpassades för att styra mot hela tjänsten i stället som tidigare utifrån utförare, det vill säga linje och verksamhetsområde.</w:t>
      </w:r>
    </w:p>
    <w:p w14:paraId="6A2C0EFC" w14:textId="77777777" w:rsidR="00ED1FB0" w:rsidRDefault="00ED1FB0" w:rsidP="00ED1FB0"/>
    <w:p w14:paraId="3747BBB4" w14:textId="77777777" w:rsidR="00ED1FB0" w:rsidRPr="00AC6649" w:rsidRDefault="00ED1FB0" w:rsidP="00ED1FB0">
      <w:r w:rsidRPr="00AC6649">
        <w:t xml:space="preserve">Förutsättningar i budget 2024 landade i ett effektiviseringskrav om 84 </w:t>
      </w:r>
      <w:r>
        <w:t>miljoner krono</w:t>
      </w:r>
      <w:r w:rsidRPr="00677D7D">
        <w:t>r</w:t>
      </w:r>
      <w:r w:rsidRPr="00AC6649">
        <w:t xml:space="preserve"> mot vilket Regionservice </w:t>
      </w:r>
      <w:r>
        <w:t>vid utgången av november</w:t>
      </w:r>
      <w:r w:rsidRPr="00AC6649">
        <w:t xml:space="preserve"> </w:t>
      </w:r>
      <w:r>
        <w:t xml:space="preserve">2024 </w:t>
      </w:r>
      <w:r w:rsidRPr="00AC6649">
        <w:t xml:space="preserve">har en helårsprognos om -18,7 </w:t>
      </w:r>
      <w:r>
        <w:t>miljoner krono</w:t>
      </w:r>
      <w:r w:rsidRPr="00677D7D">
        <w:t>r</w:t>
      </w:r>
      <w:r w:rsidRPr="00AC6649">
        <w:t xml:space="preserve">. Helårsprognosen motsvarade </w:t>
      </w:r>
      <w:r>
        <w:t xml:space="preserve">de </w:t>
      </w:r>
      <w:r w:rsidRPr="00AC6649">
        <w:t xml:space="preserve">ofinansierade budgetposterna för bårhuset (10 </w:t>
      </w:r>
      <w:r>
        <w:t>miljoner krono</w:t>
      </w:r>
      <w:r w:rsidRPr="00677D7D">
        <w:t>r</w:t>
      </w:r>
      <w:r w:rsidRPr="00AC6649">
        <w:t>) samt ofinansierade OH (15</w:t>
      </w:r>
      <w:r>
        <w:t xml:space="preserve"> miljoner krono</w:t>
      </w:r>
      <w:r w:rsidRPr="00677D7D">
        <w:t>r</w:t>
      </w:r>
      <w:r w:rsidRPr="00AC6649">
        <w:t xml:space="preserve">). </w:t>
      </w:r>
      <w:r>
        <w:t>Dessa</w:t>
      </w:r>
      <w:r w:rsidRPr="00AC6649">
        <w:t xml:space="preserve"> poster är medräknade i finansieringen i budget 2025.</w:t>
      </w:r>
    </w:p>
    <w:p w14:paraId="55F8C048" w14:textId="77777777" w:rsidR="00ED1FB0" w:rsidRPr="00AC6649" w:rsidRDefault="00ED1FB0" w:rsidP="00ED1FB0"/>
    <w:p w14:paraId="42F56678" w14:textId="77777777" w:rsidR="00ED1FB0" w:rsidRPr="00AC6649" w:rsidRDefault="00ED1FB0" w:rsidP="00ED1FB0">
      <w:r w:rsidRPr="00AC6649">
        <w:t xml:space="preserve">Utifrån förutsättningarna i budget 2025 med ett effektiviseringskrav om 121 </w:t>
      </w:r>
      <w:r>
        <w:t>miljoner krono</w:t>
      </w:r>
      <w:r w:rsidRPr="00677D7D">
        <w:t>r</w:t>
      </w:r>
      <w:r w:rsidRPr="00AC6649">
        <w:t xml:space="preserve"> har Regionservice sorterat in kravet i </w:t>
      </w:r>
      <w:r>
        <w:t>två</w:t>
      </w:r>
      <w:r w:rsidRPr="00AC6649">
        <w:t xml:space="preserve"> steg:</w:t>
      </w:r>
    </w:p>
    <w:p w14:paraId="5B68DB0A" w14:textId="77777777" w:rsidR="00ED1FB0" w:rsidRPr="00AC6649" w:rsidRDefault="00ED1FB0" w:rsidP="00ED1FB0"/>
    <w:p w14:paraId="60A7F97B" w14:textId="77777777" w:rsidR="00ED1FB0" w:rsidRDefault="00ED1FB0" w:rsidP="00ED1FB0">
      <w:r w:rsidRPr="00AC6649">
        <w:t xml:space="preserve">Steg 1: </w:t>
      </w:r>
    </w:p>
    <w:p w14:paraId="271ABE46" w14:textId="77777777" w:rsidR="00ED1FB0" w:rsidRPr="00AC6649" w:rsidRDefault="00ED1FB0" w:rsidP="00ED1FB0">
      <w:pPr>
        <w:pStyle w:val="Liststycke"/>
        <w:numPr>
          <w:ilvl w:val="0"/>
          <w:numId w:val="37"/>
        </w:numPr>
      </w:pPr>
      <w:r>
        <w:t xml:space="preserve">2024 </w:t>
      </w:r>
      <w:r w:rsidRPr="00AC6649">
        <w:t>års underskott​ som följer med in i 2025</w:t>
      </w:r>
      <w:r>
        <w:t>.</w:t>
      </w:r>
    </w:p>
    <w:p w14:paraId="48024E0F" w14:textId="77777777" w:rsidR="00ED1FB0" w:rsidRPr="00AC6649" w:rsidRDefault="00ED1FB0" w:rsidP="00ED1FB0">
      <w:pPr>
        <w:pStyle w:val="Liststycke"/>
        <w:numPr>
          <w:ilvl w:val="0"/>
          <w:numId w:val="37"/>
        </w:numPr>
      </w:pPr>
      <w:r w:rsidRPr="00AC6649">
        <w:t>Uppräkning inom verksamhet som är ofinansierade (ex</w:t>
      </w:r>
      <w:r>
        <w:t xml:space="preserve">empelvis </w:t>
      </w:r>
      <w:r w:rsidRPr="00AC6649">
        <w:t xml:space="preserve">lönerevision) 39 </w:t>
      </w:r>
      <w:r>
        <w:t>miljoner krono</w:t>
      </w:r>
      <w:r w:rsidRPr="00677D7D">
        <w:t>r</w:t>
      </w:r>
      <w:r>
        <w:t xml:space="preserve">. </w:t>
      </w:r>
    </w:p>
    <w:p w14:paraId="1B796BFE" w14:textId="77777777" w:rsidR="00ED1FB0" w:rsidRDefault="00ED1FB0" w:rsidP="00ED1FB0">
      <w:r w:rsidRPr="00AC6649">
        <w:t xml:space="preserve">Steg </w:t>
      </w:r>
      <w:r>
        <w:t>2</w:t>
      </w:r>
      <w:r w:rsidRPr="00AC6649">
        <w:t xml:space="preserve">: </w:t>
      </w:r>
    </w:p>
    <w:p w14:paraId="1C30C13F" w14:textId="77777777" w:rsidR="00ED1FB0" w:rsidRPr="00AC6649" w:rsidRDefault="00ED1FB0" w:rsidP="00ED1FB0">
      <w:pPr>
        <w:pStyle w:val="Liststycke"/>
        <w:numPr>
          <w:ilvl w:val="0"/>
          <w:numId w:val="40"/>
        </w:numPr>
      </w:pPr>
      <w:r w:rsidRPr="00AC6649">
        <w:lastRenderedPageBreak/>
        <w:t xml:space="preserve">Effektiviseringskrav 82 </w:t>
      </w:r>
      <w:r>
        <w:t>miljoner krono</w:t>
      </w:r>
      <w:r w:rsidRPr="00677D7D">
        <w:t>r</w:t>
      </w:r>
      <w:r>
        <w:t xml:space="preserve">. </w:t>
      </w:r>
    </w:p>
    <w:p w14:paraId="15725CCA" w14:textId="77777777" w:rsidR="00ED1FB0" w:rsidRPr="00AC6649" w:rsidRDefault="00ED1FB0" w:rsidP="00ED1FB0"/>
    <w:p w14:paraId="5F5E6F1F" w14:textId="77777777" w:rsidR="00ED1FB0" w:rsidRPr="00AC6649" w:rsidRDefault="00ED1FB0" w:rsidP="00ED1FB0">
      <w:r w:rsidRPr="00AC6649">
        <w:t xml:space="preserve">Åtgärder och handlingsplaner för steg 1 hanteras inom respektive verksamhet genom arbete med ständiga förbättringar och resursoptimering inom ramen för internbudgetarbetet. </w:t>
      </w:r>
    </w:p>
    <w:p w14:paraId="44D9EBE0" w14:textId="77777777" w:rsidR="00ED1FB0" w:rsidRPr="00AC6649" w:rsidRDefault="00ED1FB0" w:rsidP="00ED1FB0"/>
    <w:p w14:paraId="773AD4A0" w14:textId="77777777" w:rsidR="00ED1FB0" w:rsidRDefault="00ED1FB0" w:rsidP="00ED1FB0">
      <w:r w:rsidRPr="00AC6649">
        <w:t xml:space="preserve">Åtgärder och handlingsplaner för steg </w:t>
      </w:r>
      <w:r>
        <w:t>2</w:t>
      </w:r>
      <w:r w:rsidRPr="00AC6649">
        <w:t xml:space="preserve"> (förvaltningsövergripande effektiviseringskrav) hanteras inom ram för ledningsprocessen primärt </w:t>
      </w:r>
      <w:r w:rsidRPr="008607C3">
        <w:t xml:space="preserve">genom tjänsteutveckling och arbete i projekt. </w:t>
      </w:r>
    </w:p>
    <w:p w14:paraId="26FBFFAE" w14:textId="77777777" w:rsidR="00ED1FB0" w:rsidRDefault="00ED1FB0" w:rsidP="00ED1FB0"/>
    <w:p w14:paraId="2C8C6BF0" w14:textId="77777777" w:rsidR="00ED1FB0" w:rsidRPr="004153A1" w:rsidRDefault="00ED1FB0" w:rsidP="00ED1FB0">
      <w:r w:rsidRPr="008607C3">
        <w:t xml:space="preserve">Under 2025 kommer Regionservice särskilt arbeta med heltäckande analyser som utgår från alla prioriterade perspektiv. Syftet är att </w:t>
      </w:r>
      <w:r w:rsidRPr="004153A1">
        <w:t xml:space="preserve">möjliggöra att mål nås och effekter tas hem, samt att synliggöra och navigera vid eventuella målkonflikter. </w:t>
      </w:r>
    </w:p>
    <w:p w14:paraId="221592BB" w14:textId="77777777" w:rsidR="00ED1FB0" w:rsidRPr="004153A1" w:rsidRDefault="00ED1FB0" w:rsidP="00ED1FB0"/>
    <w:p w14:paraId="30AAE0C8" w14:textId="77777777" w:rsidR="00ED1FB0" w:rsidRDefault="00ED1FB0" w:rsidP="00ED1FB0">
      <w:r w:rsidRPr="004153A1">
        <w:t>Standardiserade ekonomiska kalkyler kommer tas fram för att säkerställa goda ekonomiska beslut med fokus på effekthemtagning och uppföljning.</w:t>
      </w:r>
    </w:p>
    <w:p w14:paraId="63672EC0" w14:textId="77777777" w:rsidR="00C45722" w:rsidRDefault="00C45722" w:rsidP="00ED1FB0"/>
    <w:p w14:paraId="0AE1DACE" w14:textId="77777777" w:rsidR="00C45722" w:rsidRDefault="00C45722" w:rsidP="00C45722"/>
    <w:p w14:paraId="1593B986" w14:textId="77777777" w:rsidR="00C45722" w:rsidRPr="003B7901" w:rsidRDefault="00C45722" w:rsidP="00C45722">
      <w:pPr>
        <w:rPr>
          <w:b/>
          <w:bCs/>
        </w:rPr>
      </w:pPr>
      <w:bookmarkStart w:id="21" w:name="_Toc169184011"/>
      <w:r w:rsidRPr="003B7901">
        <w:rPr>
          <w:b/>
          <w:bCs/>
        </w:rPr>
        <w:t>Investeringsbudget</w:t>
      </w:r>
      <w:bookmarkEnd w:id="21"/>
    </w:p>
    <w:p w14:paraId="5F41155B" w14:textId="77777777" w:rsidR="00C45722" w:rsidRDefault="00C45722" w:rsidP="00C45722">
      <w:r w:rsidRPr="008607C3">
        <w:t xml:space="preserve">Fastighets- och servicenämnden disponerar en lokal ram för investeringar i utrustning och byggnader kopplade till sina verksamheter. Regionservice andel av den lokala ramen är 34 miljoner kronor per år. Investeringsramen är fördelad med 24 miljoner kronor för investeringar i utrustning samt 10 miljoner kronor för investeringar i bygg. Utöver den lokala ramen har Regionservice investeringar kopplade till de regionövergripande strategiska projekten inom NSX samt för det Nya Måltidsprojektet. </w:t>
      </w:r>
    </w:p>
    <w:p w14:paraId="5EDD2F6E" w14:textId="77777777" w:rsidR="00C45722" w:rsidRPr="008607C3" w:rsidRDefault="00C45722" w:rsidP="00C45722"/>
    <w:p w14:paraId="667173F6" w14:textId="77777777" w:rsidR="00C45722" w:rsidRPr="008607C3" w:rsidRDefault="00C45722" w:rsidP="00C45722">
      <w:r w:rsidRPr="008607C3">
        <w:t xml:space="preserve">Regionservice budget för investeringar består av investeringar som är nödvändiga för den fortsatta driften av verksamheten samt de prioriterade program, projekt och uppdrag inom förvaltningens utvecklingsportfölj Regionservice utvecklingsportfölj utgörs av </w:t>
      </w:r>
      <w:r w:rsidRPr="008607C3">
        <w:lastRenderedPageBreak/>
        <w:t>strategiska projekt från Region Skåne, Regionservice projektportfölj samt förvaltningens tjänsteutveckling.</w:t>
      </w:r>
    </w:p>
    <w:p w14:paraId="297A9EE0" w14:textId="77777777" w:rsidR="00C45722" w:rsidRPr="008607C3" w:rsidRDefault="00C45722" w:rsidP="00C45722">
      <w:r w:rsidRPr="008607C3">
        <w:t xml:space="preserve">Regionservice investeringsbudget har kategoriserats och fördelats enligt </w:t>
      </w:r>
      <w:r>
        <w:t>nedan.</w:t>
      </w:r>
    </w:p>
    <w:p w14:paraId="602DD08A" w14:textId="77777777" w:rsidR="00C45722" w:rsidRPr="00D53547" w:rsidRDefault="00C45722" w:rsidP="00C45722"/>
    <w:tbl>
      <w:tblPr>
        <w:tblStyle w:val="Rutntstabell5mrkdekorfrg1"/>
        <w:tblW w:w="8278" w:type="dxa"/>
        <w:tblLook w:val="06A0" w:firstRow="1" w:lastRow="0" w:firstColumn="1" w:lastColumn="0" w:noHBand="1" w:noVBand="1"/>
      </w:tblPr>
      <w:tblGrid>
        <w:gridCol w:w="5386"/>
        <w:gridCol w:w="964"/>
        <w:gridCol w:w="964"/>
        <w:gridCol w:w="964"/>
      </w:tblGrid>
      <w:tr w:rsidR="00C45722" w14:paraId="2C378EA3" w14:textId="77777777" w:rsidTr="008171FE">
        <w:trPr>
          <w:cnfStyle w:val="100000000000" w:firstRow="1" w:lastRow="0" w:firstColumn="0" w:lastColumn="0" w:oddVBand="0" w:evenVBand="0" w:oddHBand="0"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5386" w:type="dxa"/>
            <w:vAlign w:val="center"/>
          </w:tcPr>
          <w:p w14:paraId="58A61DD1" w14:textId="77777777" w:rsidR="00C45722" w:rsidRPr="00B907DF" w:rsidRDefault="00C45722" w:rsidP="008171FE">
            <w:pPr>
              <w:rPr>
                <w:sz w:val="32"/>
                <w:szCs w:val="32"/>
              </w:rPr>
            </w:pPr>
            <w:r w:rsidRPr="006337D3">
              <w:rPr>
                <w:sz w:val="28"/>
                <w:szCs w:val="28"/>
              </w:rPr>
              <w:t xml:space="preserve">Investeringsbudget </w:t>
            </w:r>
            <w:r>
              <w:rPr>
                <w:sz w:val="28"/>
                <w:szCs w:val="28"/>
              </w:rPr>
              <w:t>(</w:t>
            </w:r>
            <w:r w:rsidRPr="006337D3">
              <w:rPr>
                <w:sz w:val="28"/>
                <w:szCs w:val="28"/>
              </w:rPr>
              <w:t>Mkr</w:t>
            </w:r>
            <w:r>
              <w:rPr>
                <w:sz w:val="28"/>
                <w:szCs w:val="28"/>
              </w:rPr>
              <w:t>)</w:t>
            </w:r>
          </w:p>
        </w:tc>
        <w:tc>
          <w:tcPr>
            <w:tcW w:w="964" w:type="dxa"/>
            <w:vAlign w:val="center"/>
          </w:tcPr>
          <w:p w14:paraId="77D2B30A" w14:textId="77777777" w:rsidR="00C45722" w:rsidRPr="00B907DF" w:rsidRDefault="00C45722" w:rsidP="008171FE">
            <w:pPr>
              <w:jc w:val="righ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Budget 2025</w:t>
            </w:r>
          </w:p>
        </w:tc>
        <w:tc>
          <w:tcPr>
            <w:tcW w:w="964" w:type="dxa"/>
            <w:vAlign w:val="center"/>
          </w:tcPr>
          <w:p w14:paraId="692B77D9" w14:textId="77777777" w:rsidR="00C45722" w:rsidRPr="002331BA" w:rsidRDefault="00C45722" w:rsidP="008171FE">
            <w:pPr>
              <w:jc w:val="righ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Plan 2026</w:t>
            </w:r>
          </w:p>
        </w:tc>
        <w:tc>
          <w:tcPr>
            <w:tcW w:w="964" w:type="dxa"/>
            <w:vAlign w:val="center"/>
          </w:tcPr>
          <w:p w14:paraId="43A1AB5B" w14:textId="77777777" w:rsidR="00C45722" w:rsidRPr="002331BA" w:rsidRDefault="00C45722" w:rsidP="008171FE">
            <w:pPr>
              <w:jc w:val="righ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Plan 2027</w:t>
            </w:r>
          </w:p>
        </w:tc>
      </w:tr>
      <w:tr w:rsidR="00C45722" w14:paraId="70F3EE7E" w14:textId="77777777" w:rsidTr="008171FE">
        <w:tc>
          <w:tcPr>
            <w:cnfStyle w:val="001000000000" w:firstRow="0" w:lastRow="0" w:firstColumn="1" w:lastColumn="0" w:oddVBand="0" w:evenVBand="0" w:oddHBand="0" w:evenHBand="0" w:firstRowFirstColumn="0" w:firstRowLastColumn="0" w:lastRowFirstColumn="0" w:lastRowLastColumn="0"/>
            <w:tcW w:w="5386" w:type="dxa"/>
          </w:tcPr>
          <w:p w14:paraId="6A67CF1D" w14:textId="77777777" w:rsidR="00C45722" w:rsidRPr="00700019" w:rsidRDefault="00C45722" w:rsidP="008171FE">
            <w:pPr>
              <w:rPr>
                <w:b w:val="0"/>
                <w:bCs w:val="0"/>
              </w:rPr>
            </w:pPr>
            <w:r w:rsidRPr="00E25A1E">
              <w:t>Byggnation och lokalplanering</w:t>
            </w:r>
          </w:p>
        </w:tc>
        <w:tc>
          <w:tcPr>
            <w:tcW w:w="964" w:type="dxa"/>
          </w:tcPr>
          <w:p w14:paraId="2B818BD0" w14:textId="77777777" w:rsidR="00C45722" w:rsidRPr="00D53547" w:rsidRDefault="00C45722" w:rsidP="008171FE">
            <w:pPr>
              <w:jc w:val="right"/>
              <w:cnfStyle w:val="000000000000" w:firstRow="0" w:lastRow="0" w:firstColumn="0" w:lastColumn="0" w:oddVBand="0" w:evenVBand="0" w:oddHBand="0" w:evenHBand="0" w:firstRowFirstColumn="0" w:firstRowLastColumn="0" w:lastRowFirstColumn="0" w:lastRowLastColumn="0"/>
            </w:pPr>
            <w:r w:rsidRPr="00D53547">
              <w:t>10</w:t>
            </w:r>
          </w:p>
        </w:tc>
        <w:tc>
          <w:tcPr>
            <w:tcW w:w="964" w:type="dxa"/>
          </w:tcPr>
          <w:p w14:paraId="23DD8334" w14:textId="77777777" w:rsidR="00C45722" w:rsidRPr="00D53547" w:rsidRDefault="00C45722" w:rsidP="008171FE">
            <w:pPr>
              <w:jc w:val="right"/>
              <w:cnfStyle w:val="000000000000" w:firstRow="0" w:lastRow="0" w:firstColumn="0" w:lastColumn="0" w:oddVBand="0" w:evenVBand="0" w:oddHBand="0" w:evenHBand="0" w:firstRowFirstColumn="0" w:firstRowLastColumn="0" w:lastRowFirstColumn="0" w:lastRowLastColumn="0"/>
            </w:pPr>
            <w:r w:rsidRPr="00D53547">
              <w:t>10</w:t>
            </w:r>
          </w:p>
        </w:tc>
        <w:tc>
          <w:tcPr>
            <w:tcW w:w="964" w:type="dxa"/>
          </w:tcPr>
          <w:p w14:paraId="03FF372A" w14:textId="77777777" w:rsidR="00C45722" w:rsidRPr="00D53547" w:rsidRDefault="00C45722" w:rsidP="008171FE">
            <w:pPr>
              <w:jc w:val="right"/>
              <w:cnfStyle w:val="000000000000" w:firstRow="0" w:lastRow="0" w:firstColumn="0" w:lastColumn="0" w:oddVBand="0" w:evenVBand="0" w:oddHBand="0" w:evenHBand="0" w:firstRowFirstColumn="0" w:firstRowLastColumn="0" w:lastRowFirstColumn="0" w:lastRowLastColumn="0"/>
            </w:pPr>
            <w:r w:rsidRPr="00D53547">
              <w:t>10</w:t>
            </w:r>
          </w:p>
        </w:tc>
      </w:tr>
      <w:tr w:rsidR="00C45722" w14:paraId="287D0416" w14:textId="77777777" w:rsidTr="008171FE">
        <w:tc>
          <w:tcPr>
            <w:cnfStyle w:val="001000000000" w:firstRow="0" w:lastRow="0" w:firstColumn="1" w:lastColumn="0" w:oddVBand="0" w:evenVBand="0" w:oddHBand="0" w:evenHBand="0" w:firstRowFirstColumn="0" w:firstRowLastColumn="0" w:lastRowFirstColumn="0" w:lastRowLastColumn="0"/>
            <w:tcW w:w="5386" w:type="dxa"/>
          </w:tcPr>
          <w:p w14:paraId="5911465E" w14:textId="77777777" w:rsidR="00C45722" w:rsidRDefault="00C45722" w:rsidP="008171FE">
            <w:r>
              <w:t xml:space="preserve">Haverier av utrustning </w:t>
            </w:r>
          </w:p>
        </w:tc>
        <w:tc>
          <w:tcPr>
            <w:tcW w:w="964" w:type="dxa"/>
          </w:tcPr>
          <w:p w14:paraId="06C561E3" w14:textId="77777777" w:rsidR="00C45722" w:rsidRPr="00D53547" w:rsidRDefault="00C45722" w:rsidP="008171FE">
            <w:pPr>
              <w:jc w:val="right"/>
              <w:cnfStyle w:val="000000000000" w:firstRow="0" w:lastRow="0" w:firstColumn="0" w:lastColumn="0" w:oddVBand="0" w:evenVBand="0" w:oddHBand="0" w:evenHBand="0" w:firstRowFirstColumn="0" w:firstRowLastColumn="0" w:lastRowFirstColumn="0" w:lastRowLastColumn="0"/>
            </w:pPr>
            <w:r w:rsidRPr="00D53547">
              <w:t>2</w:t>
            </w:r>
          </w:p>
        </w:tc>
        <w:tc>
          <w:tcPr>
            <w:tcW w:w="964" w:type="dxa"/>
          </w:tcPr>
          <w:p w14:paraId="5D48FDDB" w14:textId="77777777" w:rsidR="00C45722" w:rsidRPr="00D53547" w:rsidRDefault="00C45722" w:rsidP="008171FE">
            <w:pPr>
              <w:jc w:val="right"/>
              <w:cnfStyle w:val="000000000000" w:firstRow="0" w:lastRow="0" w:firstColumn="0" w:lastColumn="0" w:oddVBand="0" w:evenVBand="0" w:oddHBand="0" w:evenHBand="0" w:firstRowFirstColumn="0" w:firstRowLastColumn="0" w:lastRowFirstColumn="0" w:lastRowLastColumn="0"/>
            </w:pPr>
            <w:r w:rsidRPr="00D53547">
              <w:t>2</w:t>
            </w:r>
          </w:p>
        </w:tc>
        <w:tc>
          <w:tcPr>
            <w:tcW w:w="964" w:type="dxa"/>
          </w:tcPr>
          <w:p w14:paraId="543FA3D5" w14:textId="77777777" w:rsidR="00C45722" w:rsidRPr="00D53547" w:rsidRDefault="00C45722" w:rsidP="008171FE">
            <w:pPr>
              <w:jc w:val="right"/>
              <w:cnfStyle w:val="000000000000" w:firstRow="0" w:lastRow="0" w:firstColumn="0" w:lastColumn="0" w:oddVBand="0" w:evenVBand="0" w:oddHBand="0" w:evenHBand="0" w:firstRowFirstColumn="0" w:firstRowLastColumn="0" w:lastRowFirstColumn="0" w:lastRowLastColumn="0"/>
            </w:pPr>
            <w:r w:rsidRPr="00D53547">
              <w:t>2</w:t>
            </w:r>
          </w:p>
        </w:tc>
      </w:tr>
      <w:tr w:rsidR="00C45722" w14:paraId="7A4C0605" w14:textId="77777777" w:rsidTr="008171FE">
        <w:tc>
          <w:tcPr>
            <w:cnfStyle w:val="001000000000" w:firstRow="0" w:lastRow="0" w:firstColumn="1" w:lastColumn="0" w:oddVBand="0" w:evenVBand="0" w:oddHBand="0" w:evenHBand="0" w:firstRowFirstColumn="0" w:firstRowLastColumn="0" w:lastRowFirstColumn="0" w:lastRowLastColumn="0"/>
            <w:tcW w:w="5386" w:type="dxa"/>
          </w:tcPr>
          <w:p w14:paraId="5F12946F" w14:textId="77777777" w:rsidR="00C45722" w:rsidRDefault="00C45722" w:rsidP="008171FE">
            <w:r>
              <w:t>Ny- och återinvestering i utrustning</w:t>
            </w:r>
          </w:p>
        </w:tc>
        <w:tc>
          <w:tcPr>
            <w:tcW w:w="964" w:type="dxa"/>
          </w:tcPr>
          <w:p w14:paraId="66D55B5C" w14:textId="77777777" w:rsidR="00C45722" w:rsidRPr="00D53547" w:rsidRDefault="00C45722" w:rsidP="008171FE">
            <w:pPr>
              <w:jc w:val="right"/>
              <w:cnfStyle w:val="000000000000" w:firstRow="0" w:lastRow="0" w:firstColumn="0" w:lastColumn="0" w:oddVBand="0" w:evenVBand="0" w:oddHBand="0" w:evenHBand="0" w:firstRowFirstColumn="0" w:firstRowLastColumn="0" w:lastRowFirstColumn="0" w:lastRowLastColumn="0"/>
            </w:pPr>
            <w:r w:rsidRPr="00D53547">
              <w:t>7</w:t>
            </w:r>
          </w:p>
        </w:tc>
        <w:tc>
          <w:tcPr>
            <w:tcW w:w="964" w:type="dxa"/>
          </w:tcPr>
          <w:p w14:paraId="221ECDFD" w14:textId="77777777" w:rsidR="00C45722" w:rsidRPr="00D53547" w:rsidRDefault="00C45722" w:rsidP="008171FE">
            <w:pPr>
              <w:jc w:val="right"/>
              <w:cnfStyle w:val="000000000000" w:firstRow="0" w:lastRow="0" w:firstColumn="0" w:lastColumn="0" w:oddVBand="0" w:evenVBand="0" w:oddHBand="0" w:evenHBand="0" w:firstRowFirstColumn="0" w:firstRowLastColumn="0" w:lastRowFirstColumn="0" w:lastRowLastColumn="0"/>
            </w:pPr>
            <w:r w:rsidRPr="00D53547">
              <w:t>7</w:t>
            </w:r>
          </w:p>
        </w:tc>
        <w:tc>
          <w:tcPr>
            <w:tcW w:w="964" w:type="dxa"/>
          </w:tcPr>
          <w:p w14:paraId="12D1162A" w14:textId="77777777" w:rsidR="00C45722" w:rsidRPr="00D53547" w:rsidRDefault="00C45722" w:rsidP="008171FE">
            <w:pPr>
              <w:jc w:val="right"/>
              <w:cnfStyle w:val="000000000000" w:firstRow="0" w:lastRow="0" w:firstColumn="0" w:lastColumn="0" w:oddVBand="0" w:evenVBand="0" w:oddHBand="0" w:evenHBand="0" w:firstRowFirstColumn="0" w:firstRowLastColumn="0" w:lastRowFirstColumn="0" w:lastRowLastColumn="0"/>
            </w:pPr>
            <w:r w:rsidRPr="00D53547">
              <w:t>7</w:t>
            </w:r>
          </w:p>
        </w:tc>
      </w:tr>
      <w:tr w:rsidR="00C45722" w14:paraId="7F3807DA" w14:textId="77777777" w:rsidTr="008171FE">
        <w:tc>
          <w:tcPr>
            <w:cnfStyle w:val="001000000000" w:firstRow="0" w:lastRow="0" w:firstColumn="1" w:lastColumn="0" w:oddVBand="0" w:evenVBand="0" w:oddHBand="0" w:evenHBand="0" w:firstRowFirstColumn="0" w:firstRowLastColumn="0" w:lastRowFirstColumn="0" w:lastRowLastColumn="0"/>
            <w:tcW w:w="5386" w:type="dxa"/>
          </w:tcPr>
          <w:p w14:paraId="518FF9EE" w14:textId="77777777" w:rsidR="00C45722" w:rsidRDefault="00C45722" w:rsidP="008171FE">
            <w:r>
              <w:t>Investeringar i utveckling</w:t>
            </w:r>
          </w:p>
        </w:tc>
        <w:tc>
          <w:tcPr>
            <w:tcW w:w="964" w:type="dxa"/>
          </w:tcPr>
          <w:p w14:paraId="1B741314" w14:textId="77777777" w:rsidR="00C45722" w:rsidRPr="00D53547" w:rsidRDefault="00C45722" w:rsidP="008171FE">
            <w:pPr>
              <w:jc w:val="right"/>
              <w:cnfStyle w:val="000000000000" w:firstRow="0" w:lastRow="0" w:firstColumn="0" w:lastColumn="0" w:oddVBand="0" w:evenVBand="0" w:oddHBand="0" w:evenHBand="0" w:firstRowFirstColumn="0" w:firstRowLastColumn="0" w:lastRowFirstColumn="0" w:lastRowLastColumn="0"/>
            </w:pPr>
            <w:r w:rsidRPr="00D53547">
              <w:t>10</w:t>
            </w:r>
          </w:p>
        </w:tc>
        <w:tc>
          <w:tcPr>
            <w:tcW w:w="964" w:type="dxa"/>
          </w:tcPr>
          <w:p w14:paraId="4F0CA428" w14:textId="77777777" w:rsidR="00C45722" w:rsidRPr="00D53547" w:rsidRDefault="00C45722" w:rsidP="008171FE">
            <w:pPr>
              <w:jc w:val="right"/>
              <w:cnfStyle w:val="000000000000" w:firstRow="0" w:lastRow="0" w:firstColumn="0" w:lastColumn="0" w:oddVBand="0" w:evenVBand="0" w:oddHBand="0" w:evenHBand="0" w:firstRowFirstColumn="0" w:firstRowLastColumn="0" w:lastRowFirstColumn="0" w:lastRowLastColumn="0"/>
            </w:pPr>
            <w:r w:rsidRPr="00D53547">
              <w:t>10</w:t>
            </w:r>
          </w:p>
        </w:tc>
        <w:tc>
          <w:tcPr>
            <w:tcW w:w="964" w:type="dxa"/>
          </w:tcPr>
          <w:p w14:paraId="33026DB8" w14:textId="77777777" w:rsidR="00C45722" w:rsidRPr="00D53547" w:rsidRDefault="00C45722" w:rsidP="008171FE">
            <w:pPr>
              <w:jc w:val="right"/>
              <w:cnfStyle w:val="000000000000" w:firstRow="0" w:lastRow="0" w:firstColumn="0" w:lastColumn="0" w:oddVBand="0" w:evenVBand="0" w:oddHBand="0" w:evenHBand="0" w:firstRowFirstColumn="0" w:firstRowLastColumn="0" w:lastRowFirstColumn="0" w:lastRowLastColumn="0"/>
            </w:pPr>
            <w:r w:rsidRPr="00D53547">
              <w:t>10</w:t>
            </w:r>
          </w:p>
        </w:tc>
      </w:tr>
      <w:tr w:rsidR="00C45722" w14:paraId="4B39A081" w14:textId="77777777" w:rsidTr="008171FE">
        <w:tc>
          <w:tcPr>
            <w:cnfStyle w:val="001000000000" w:firstRow="0" w:lastRow="0" w:firstColumn="1" w:lastColumn="0" w:oddVBand="0" w:evenVBand="0" w:oddHBand="0" w:evenHBand="0" w:firstRowFirstColumn="0" w:firstRowLastColumn="0" w:lastRowFirstColumn="0" w:lastRowLastColumn="0"/>
            <w:tcW w:w="5386" w:type="dxa"/>
          </w:tcPr>
          <w:p w14:paraId="2392387F" w14:textId="77777777" w:rsidR="00C45722" w:rsidRDefault="00C45722" w:rsidP="008171FE">
            <w:r>
              <w:t>Övriga investeringar</w:t>
            </w:r>
          </w:p>
        </w:tc>
        <w:tc>
          <w:tcPr>
            <w:tcW w:w="964" w:type="dxa"/>
          </w:tcPr>
          <w:p w14:paraId="3B8E352E" w14:textId="77777777" w:rsidR="00C45722" w:rsidRPr="00D53547" w:rsidRDefault="00C45722" w:rsidP="008171FE">
            <w:pPr>
              <w:jc w:val="right"/>
              <w:cnfStyle w:val="000000000000" w:firstRow="0" w:lastRow="0" w:firstColumn="0" w:lastColumn="0" w:oddVBand="0" w:evenVBand="0" w:oddHBand="0" w:evenHBand="0" w:firstRowFirstColumn="0" w:firstRowLastColumn="0" w:lastRowFirstColumn="0" w:lastRowLastColumn="0"/>
            </w:pPr>
            <w:r w:rsidRPr="00D53547">
              <w:t>5</w:t>
            </w:r>
          </w:p>
        </w:tc>
        <w:tc>
          <w:tcPr>
            <w:tcW w:w="964" w:type="dxa"/>
          </w:tcPr>
          <w:p w14:paraId="599B05C5" w14:textId="77777777" w:rsidR="00C45722" w:rsidRPr="00D53547" w:rsidRDefault="00C45722" w:rsidP="008171FE">
            <w:pPr>
              <w:jc w:val="right"/>
              <w:cnfStyle w:val="000000000000" w:firstRow="0" w:lastRow="0" w:firstColumn="0" w:lastColumn="0" w:oddVBand="0" w:evenVBand="0" w:oddHBand="0" w:evenHBand="0" w:firstRowFirstColumn="0" w:firstRowLastColumn="0" w:lastRowFirstColumn="0" w:lastRowLastColumn="0"/>
            </w:pPr>
            <w:r w:rsidRPr="00D53547">
              <w:t>5</w:t>
            </w:r>
          </w:p>
        </w:tc>
        <w:tc>
          <w:tcPr>
            <w:tcW w:w="964" w:type="dxa"/>
          </w:tcPr>
          <w:p w14:paraId="2B392B29" w14:textId="77777777" w:rsidR="00C45722" w:rsidRPr="00D53547" w:rsidRDefault="00C45722" w:rsidP="008171FE">
            <w:pPr>
              <w:jc w:val="right"/>
              <w:cnfStyle w:val="000000000000" w:firstRow="0" w:lastRow="0" w:firstColumn="0" w:lastColumn="0" w:oddVBand="0" w:evenVBand="0" w:oddHBand="0" w:evenHBand="0" w:firstRowFirstColumn="0" w:firstRowLastColumn="0" w:lastRowFirstColumn="0" w:lastRowLastColumn="0"/>
            </w:pPr>
            <w:r w:rsidRPr="00D53547">
              <w:t>5</w:t>
            </w:r>
          </w:p>
        </w:tc>
      </w:tr>
    </w:tbl>
    <w:p w14:paraId="7CCF622E" w14:textId="77777777" w:rsidR="00C45722" w:rsidRPr="00922AC6" w:rsidRDefault="00C45722" w:rsidP="00C45722">
      <w:pPr>
        <w:pStyle w:val="Bildtabellbeskrivning"/>
        <w:rPr>
          <w:lang w:val="sv" w:eastAsia="en-US"/>
        </w:rPr>
      </w:pPr>
      <w:r>
        <w:rPr>
          <w:lang w:val="sv" w:eastAsia="en-US"/>
        </w:rPr>
        <w:t>Tabellbeskrivning</w:t>
      </w:r>
      <w:r w:rsidRPr="00606E84">
        <w:rPr>
          <w:lang w:val="sv" w:eastAsia="en-US"/>
        </w:rPr>
        <w:t xml:space="preserve">: </w:t>
      </w:r>
      <w:r>
        <w:rPr>
          <w:lang w:val="sv" w:eastAsia="en-US"/>
        </w:rPr>
        <w:t xml:space="preserve">Fördelning av investeringsutrymme </w:t>
      </w:r>
    </w:p>
    <w:p w14:paraId="1D83C7ED" w14:textId="6E117F0B" w:rsidR="00C45722" w:rsidRPr="00013952" w:rsidRDefault="00C45722" w:rsidP="00C45722">
      <w:pPr>
        <w:spacing w:after="240"/>
      </w:pPr>
    </w:p>
    <w:p w14:paraId="342858C2" w14:textId="77777777" w:rsidR="00C45722" w:rsidRPr="004153A1" w:rsidRDefault="00C45722" w:rsidP="00ED1FB0"/>
    <w:p w14:paraId="267E321F" w14:textId="77777777" w:rsidR="00ED1FB0" w:rsidRPr="00013952" w:rsidRDefault="00ED1FB0" w:rsidP="00ED1FB0">
      <w:pPr>
        <w:spacing w:after="240"/>
      </w:pPr>
      <w:r>
        <w:br w:type="page"/>
      </w:r>
    </w:p>
    <w:p w14:paraId="5255A474" w14:textId="77777777" w:rsidR="00ED1FB0" w:rsidRPr="009B5ABF" w:rsidRDefault="00ED1FB0" w:rsidP="00ED1FB0">
      <w:pPr>
        <w:pStyle w:val="Rubrik1"/>
        <w:rPr>
          <w:rFonts w:ascii="Public Sans" w:hAnsi="Public Sans"/>
          <w:sz w:val="36"/>
          <w:szCs w:val="36"/>
        </w:rPr>
      </w:pPr>
      <w:bookmarkStart w:id="22" w:name="_Toc184195029"/>
      <w:r w:rsidRPr="005A0780">
        <w:rPr>
          <w:rFonts w:ascii="Public Sans" w:hAnsi="Public Sans"/>
          <w:sz w:val="36"/>
          <w:szCs w:val="36"/>
        </w:rPr>
        <w:lastRenderedPageBreak/>
        <w:t>Bilagor</w:t>
      </w:r>
      <w:r>
        <w:rPr>
          <w:rFonts w:ascii="Public Sans" w:hAnsi="Public Sans"/>
          <w:sz w:val="36"/>
          <w:szCs w:val="36"/>
        </w:rPr>
        <w:t xml:space="preserve"> – resultatbudget</w:t>
      </w:r>
      <w:bookmarkEnd w:id="22"/>
      <w:r>
        <w:rPr>
          <w:rFonts w:ascii="Public Sans" w:hAnsi="Public Sans"/>
          <w:sz w:val="36"/>
          <w:szCs w:val="36"/>
        </w:rPr>
        <w:t xml:space="preserve"> </w:t>
      </w:r>
    </w:p>
    <w:tbl>
      <w:tblPr>
        <w:tblW w:w="9859" w:type="dxa"/>
        <w:tblInd w:w="-1134" w:type="dxa"/>
        <w:tblCellMar>
          <w:left w:w="70" w:type="dxa"/>
          <w:right w:w="70" w:type="dxa"/>
        </w:tblCellMar>
        <w:tblLook w:val="04A0" w:firstRow="1" w:lastRow="0" w:firstColumn="1" w:lastColumn="0" w:noHBand="0" w:noVBand="1"/>
      </w:tblPr>
      <w:tblGrid>
        <w:gridCol w:w="5499"/>
        <w:gridCol w:w="1460"/>
        <w:gridCol w:w="1460"/>
        <w:gridCol w:w="1440"/>
      </w:tblGrid>
      <w:tr w:rsidR="00ED1FB0" w14:paraId="7FC065DF" w14:textId="77777777" w:rsidTr="008171FE">
        <w:trPr>
          <w:trHeight w:val="350"/>
        </w:trPr>
        <w:tc>
          <w:tcPr>
            <w:tcW w:w="5499" w:type="dxa"/>
            <w:tcBorders>
              <w:top w:val="nil"/>
              <w:left w:val="nil"/>
              <w:bottom w:val="nil"/>
              <w:right w:val="nil"/>
            </w:tcBorders>
            <w:shd w:val="clear" w:color="auto" w:fill="FF9900"/>
            <w:noWrap/>
            <w:vAlign w:val="bottom"/>
            <w:hideMark/>
          </w:tcPr>
          <w:p w14:paraId="3A92E423" w14:textId="77777777" w:rsidR="00ED1FB0" w:rsidRPr="00B2324A" w:rsidRDefault="00ED1FB0" w:rsidP="008171FE">
            <w:pPr>
              <w:rPr>
                <w:rFonts w:cs="Arial"/>
                <w:b/>
                <w:bCs/>
                <w:i/>
                <w:iCs/>
                <w:color w:val="FFFFFF"/>
                <w:sz w:val="18"/>
                <w:szCs w:val="18"/>
              </w:rPr>
            </w:pPr>
            <w:r w:rsidRPr="00B2324A">
              <w:rPr>
                <w:rFonts w:cs="Arial"/>
                <w:b/>
                <w:bCs/>
                <w:i/>
                <w:iCs/>
                <w:color w:val="FFFFFF"/>
                <w:sz w:val="18"/>
                <w:szCs w:val="18"/>
              </w:rPr>
              <w:t>Resultatbudget år 2025</w:t>
            </w:r>
          </w:p>
        </w:tc>
        <w:tc>
          <w:tcPr>
            <w:tcW w:w="1460" w:type="dxa"/>
            <w:tcBorders>
              <w:top w:val="nil"/>
              <w:left w:val="nil"/>
              <w:bottom w:val="nil"/>
              <w:right w:val="nil"/>
            </w:tcBorders>
            <w:shd w:val="clear" w:color="auto" w:fill="FF9900"/>
            <w:noWrap/>
            <w:vAlign w:val="bottom"/>
            <w:hideMark/>
          </w:tcPr>
          <w:p w14:paraId="3046DF11" w14:textId="77777777" w:rsidR="00ED1FB0" w:rsidRPr="00B2324A" w:rsidRDefault="00ED1FB0" w:rsidP="008171FE">
            <w:pPr>
              <w:rPr>
                <w:rFonts w:cs="Calibri"/>
                <w:color w:val="000000"/>
                <w:sz w:val="18"/>
                <w:szCs w:val="18"/>
              </w:rPr>
            </w:pPr>
            <w:r w:rsidRPr="00B2324A">
              <w:rPr>
                <w:rFonts w:cs="Calibri"/>
                <w:color w:val="000000"/>
                <w:sz w:val="18"/>
                <w:szCs w:val="18"/>
              </w:rPr>
              <w:t> </w:t>
            </w:r>
          </w:p>
        </w:tc>
        <w:tc>
          <w:tcPr>
            <w:tcW w:w="1460" w:type="dxa"/>
            <w:tcBorders>
              <w:top w:val="nil"/>
              <w:left w:val="nil"/>
              <w:bottom w:val="nil"/>
              <w:right w:val="nil"/>
            </w:tcBorders>
            <w:shd w:val="clear" w:color="auto" w:fill="FF9900"/>
            <w:noWrap/>
            <w:vAlign w:val="bottom"/>
            <w:hideMark/>
          </w:tcPr>
          <w:p w14:paraId="29E86C8A" w14:textId="77777777" w:rsidR="00ED1FB0" w:rsidRPr="00B2324A" w:rsidRDefault="00ED1FB0" w:rsidP="008171FE">
            <w:pPr>
              <w:rPr>
                <w:rFonts w:cs="Calibri"/>
                <w:color w:val="000000"/>
                <w:sz w:val="18"/>
                <w:szCs w:val="18"/>
              </w:rPr>
            </w:pPr>
            <w:r w:rsidRPr="00B2324A">
              <w:rPr>
                <w:rFonts w:cs="Calibri"/>
                <w:color w:val="000000"/>
                <w:sz w:val="18"/>
                <w:szCs w:val="18"/>
              </w:rPr>
              <w:t> </w:t>
            </w:r>
          </w:p>
        </w:tc>
        <w:tc>
          <w:tcPr>
            <w:tcW w:w="1440" w:type="dxa"/>
            <w:tcBorders>
              <w:top w:val="nil"/>
              <w:left w:val="nil"/>
              <w:bottom w:val="nil"/>
              <w:right w:val="nil"/>
            </w:tcBorders>
            <w:shd w:val="clear" w:color="auto" w:fill="FF9900"/>
            <w:noWrap/>
            <w:vAlign w:val="bottom"/>
            <w:hideMark/>
          </w:tcPr>
          <w:p w14:paraId="5498AA0C" w14:textId="77777777" w:rsidR="00ED1FB0" w:rsidRPr="00B2324A" w:rsidRDefault="00ED1FB0" w:rsidP="008171FE">
            <w:pPr>
              <w:rPr>
                <w:rFonts w:cs="Arial"/>
                <w:b/>
                <w:bCs/>
                <w:i/>
                <w:iCs/>
                <w:color w:val="FFFFFF"/>
                <w:sz w:val="18"/>
                <w:szCs w:val="18"/>
              </w:rPr>
            </w:pPr>
            <w:r w:rsidRPr="00B2324A">
              <w:rPr>
                <w:rFonts w:cs="Arial"/>
                <w:b/>
                <w:bCs/>
                <w:i/>
                <w:iCs/>
                <w:color w:val="FFFFFF"/>
                <w:sz w:val="18"/>
                <w:szCs w:val="18"/>
              </w:rPr>
              <w:t xml:space="preserve">mp </w:t>
            </w:r>
            <w:proofErr w:type="gramStart"/>
            <w:r w:rsidRPr="00B2324A">
              <w:rPr>
                <w:rFonts w:cs="Arial"/>
                <w:b/>
                <w:bCs/>
                <w:i/>
                <w:iCs/>
                <w:color w:val="FFFFFF"/>
                <w:sz w:val="18"/>
                <w:szCs w:val="18"/>
              </w:rPr>
              <w:t>1-3</w:t>
            </w:r>
            <w:proofErr w:type="gramEnd"/>
          </w:p>
        </w:tc>
      </w:tr>
      <w:tr w:rsidR="00ED1FB0" w14:paraId="73961652" w14:textId="77777777" w:rsidTr="008171FE">
        <w:trPr>
          <w:trHeight w:val="350"/>
        </w:trPr>
        <w:tc>
          <w:tcPr>
            <w:tcW w:w="5499" w:type="dxa"/>
            <w:tcBorders>
              <w:top w:val="nil"/>
              <w:left w:val="nil"/>
              <w:bottom w:val="nil"/>
              <w:right w:val="nil"/>
            </w:tcBorders>
            <w:shd w:val="clear" w:color="auto" w:fill="FF9900"/>
            <w:noWrap/>
            <w:vAlign w:val="bottom"/>
            <w:hideMark/>
          </w:tcPr>
          <w:p w14:paraId="13112236" w14:textId="77777777" w:rsidR="00ED1FB0" w:rsidRPr="00B2324A" w:rsidRDefault="00ED1FB0" w:rsidP="008171FE">
            <w:pPr>
              <w:rPr>
                <w:rFonts w:cs="Arial"/>
                <w:b/>
                <w:bCs/>
                <w:i/>
                <w:iCs/>
                <w:color w:val="FFFFFF"/>
                <w:sz w:val="18"/>
                <w:szCs w:val="18"/>
              </w:rPr>
            </w:pPr>
            <w:r w:rsidRPr="00B2324A">
              <w:rPr>
                <w:rFonts w:cs="Arial"/>
                <w:b/>
                <w:bCs/>
                <w:i/>
                <w:iCs/>
                <w:color w:val="FFFFFF" w:themeColor="background1"/>
                <w:sz w:val="18"/>
                <w:szCs w:val="18"/>
              </w:rPr>
              <w:t>Fastighets- och servicenämnden/Regionfastigheter</w:t>
            </w:r>
          </w:p>
        </w:tc>
        <w:tc>
          <w:tcPr>
            <w:tcW w:w="1460" w:type="dxa"/>
            <w:tcBorders>
              <w:top w:val="nil"/>
              <w:left w:val="nil"/>
              <w:bottom w:val="nil"/>
              <w:right w:val="nil"/>
            </w:tcBorders>
            <w:shd w:val="clear" w:color="auto" w:fill="FF9900"/>
            <w:noWrap/>
            <w:vAlign w:val="bottom"/>
            <w:hideMark/>
          </w:tcPr>
          <w:p w14:paraId="135A3162" w14:textId="77777777" w:rsidR="00ED1FB0" w:rsidRPr="00B2324A" w:rsidRDefault="00ED1FB0" w:rsidP="008171FE">
            <w:pPr>
              <w:rPr>
                <w:rFonts w:cs="Calibri"/>
                <w:color w:val="000000"/>
                <w:sz w:val="18"/>
                <w:szCs w:val="18"/>
              </w:rPr>
            </w:pPr>
            <w:r w:rsidRPr="00B2324A">
              <w:rPr>
                <w:rFonts w:cs="Calibri"/>
                <w:color w:val="000000"/>
                <w:sz w:val="18"/>
                <w:szCs w:val="18"/>
              </w:rPr>
              <w:t> </w:t>
            </w:r>
          </w:p>
        </w:tc>
        <w:tc>
          <w:tcPr>
            <w:tcW w:w="1460" w:type="dxa"/>
            <w:tcBorders>
              <w:top w:val="nil"/>
              <w:left w:val="nil"/>
              <w:bottom w:val="nil"/>
              <w:right w:val="nil"/>
            </w:tcBorders>
            <w:shd w:val="clear" w:color="auto" w:fill="FF9900"/>
            <w:noWrap/>
            <w:vAlign w:val="bottom"/>
            <w:hideMark/>
          </w:tcPr>
          <w:p w14:paraId="0625462F" w14:textId="77777777" w:rsidR="00ED1FB0" w:rsidRPr="00B2324A" w:rsidRDefault="00ED1FB0" w:rsidP="008171FE">
            <w:pPr>
              <w:rPr>
                <w:rFonts w:cs="Calibri"/>
                <w:color w:val="000000"/>
                <w:sz w:val="18"/>
                <w:szCs w:val="18"/>
              </w:rPr>
            </w:pPr>
            <w:r w:rsidRPr="00B2324A">
              <w:rPr>
                <w:rFonts w:cs="Calibri"/>
                <w:color w:val="000000"/>
                <w:sz w:val="18"/>
                <w:szCs w:val="18"/>
              </w:rPr>
              <w:t> </w:t>
            </w:r>
          </w:p>
        </w:tc>
        <w:tc>
          <w:tcPr>
            <w:tcW w:w="1440" w:type="dxa"/>
            <w:tcBorders>
              <w:top w:val="nil"/>
              <w:left w:val="nil"/>
              <w:bottom w:val="nil"/>
              <w:right w:val="nil"/>
            </w:tcBorders>
            <w:shd w:val="clear" w:color="auto" w:fill="FF9900"/>
            <w:noWrap/>
            <w:vAlign w:val="bottom"/>
            <w:hideMark/>
          </w:tcPr>
          <w:p w14:paraId="5F023AC9" w14:textId="77777777" w:rsidR="00ED1FB0" w:rsidRPr="00B2324A" w:rsidRDefault="00ED1FB0" w:rsidP="008171FE">
            <w:pPr>
              <w:rPr>
                <w:rFonts w:cs="Calibri"/>
                <w:color w:val="000000"/>
                <w:sz w:val="18"/>
                <w:szCs w:val="18"/>
              </w:rPr>
            </w:pPr>
            <w:r w:rsidRPr="00B2324A">
              <w:rPr>
                <w:rFonts w:cs="Calibri"/>
                <w:color w:val="000000"/>
                <w:sz w:val="18"/>
                <w:szCs w:val="18"/>
              </w:rPr>
              <w:t> </w:t>
            </w:r>
          </w:p>
        </w:tc>
      </w:tr>
      <w:tr w:rsidR="00ED1FB0" w14:paraId="152FDF91" w14:textId="77777777" w:rsidTr="008171FE">
        <w:trPr>
          <w:trHeight w:val="290"/>
        </w:trPr>
        <w:tc>
          <w:tcPr>
            <w:tcW w:w="5499" w:type="dxa"/>
            <w:tcBorders>
              <w:top w:val="nil"/>
              <w:left w:val="nil"/>
              <w:bottom w:val="nil"/>
              <w:right w:val="nil"/>
            </w:tcBorders>
            <w:shd w:val="clear" w:color="auto" w:fill="auto"/>
            <w:vAlign w:val="bottom"/>
            <w:hideMark/>
          </w:tcPr>
          <w:p w14:paraId="5FE337CE" w14:textId="77777777" w:rsidR="00ED1FB0" w:rsidRPr="00B2324A" w:rsidRDefault="00ED1FB0" w:rsidP="008171FE">
            <w:pPr>
              <w:rPr>
                <w:rFonts w:cs="Calibri"/>
                <w:color w:val="000000"/>
                <w:sz w:val="18"/>
                <w:szCs w:val="18"/>
              </w:rPr>
            </w:pPr>
            <w:r w:rsidRPr="00B2324A">
              <w:rPr>
                <w:rFonts w:cs="Calibri"/>
                <w:color w:val="000000"/>
                <w:sz w:val="18"/>
                <w:szCs w:val="18"/>
              </w:rPr>
              <w:t> </w:t>
            </w:r>
          </w:p>
        </w:tc>
        <w:tc>
          <w:tcPr>
            <w:tcW w:w="1460" w:type="dxa"/>
            <w:tcBorders>
              <w:top w:val="nil"/>
              <w:left w:val="nil"/>
              <w:bottom w:val="nil"/>
              <w:right w:val="nil"/>
            </w:tcBorders>
            <w:shd w:val="clear" w:color="auto" w:fill="auto"/>
            <w:vAlign w:val="bottom"/>
            <w:hideMark/>
          </w:tcPr>
          <w:p w14:paraId="2AE0C8F5" w14:textId="77777777" w:rsidR="00ED1FB0" w:rsidRPr="00B2324A" w:rsidRDefault="00ED1FB0" w:rsidP="008171FE">
            <w:pPr>
              <w:rPr>
                <w:rFonts w:cs="Calibri"/>
                <w:color w:val="000000"/>
                <w:sz w:val="18"/>
                <w:szCs w:val="18"/>
              </w:rPr>
            </w:pPr>
            <w:r w:rsidRPr="00B2324A">
              <w:rPr>
                <w:rFonts w:cs="Calibri"/>
                <w:color w:val="000000"/>
                <w:sz w:val="18"/>
                <w:szCs w:val="18"/>
              </w:rPr>
              <w:t> </w:t>
            </w:r>
          </w:p>
        </w:tc>
        <w:tc>
          <w:tcPr>
            <w:tcW w:w="1460" w:type="dxa"/>
            <w:tcBorders>
              <w:top w:val="nil"/>
              <w:left w:val="nil"/>
              <w:bottom w:val="nil"/>
              <w:right w:val="nil"/>
            </w:tcBorders>
            <w:shd w:val="clear" w:color="auto" w:fill="auto"/>
            <w:vAlign w:val="bottom"/>
            <w:hideMark/>
          </w:tcPr>
          <w:p w14:paraId="0C8A20CB" w14:textId="77777777" w:rsidR="00ED1FB0" w:rsidRPr="00B2324A" w:rsidRDefault="00ED1FB0" w:rsidP="008171FE">
            <w:pPr>
              <w:rPr>
                <w:rFonts w:cs="Calibri"/>
                <w:color w:val="000000"/>
                <w:sz w:val="18"/>
                <w:szCs w:val="18"/>
              </w:rPr>
            </w:pPr>
            <w:r w:rsidRPr="00B2324A">
              <w:rPr>
                <w:rFonts w:cs="Calibri"/>
                <w:color w:val="000000"/>
                <w:sz w:val="18"/>
                <w:szCs w:val="18"/>
              </w:rPr>
              <w:t> </w:t>
            </w:r>
          </w:p>
        </w:tc>
        <w:tc>
          <w:tcPr>
            <w:tcW w:w="1440" w:type="dxa"/>
            <w:tcBorders>
              <w:top w:val="nil"/>
              <w:left w:val="nil"/>
              <w:bottom w:val="nil"/>
              <w:right w:val="nil"/>
            </w:tcBorders>
            <w:shd w:val="clear" w:color="auto" w:fill="auto"/>
            <w:vAlign w:val="bottom"/>
            <w:hideMark/>
          </w:tcPr>
          <w:p w14:paraId="2A18D1A8" w14:textId="77777777" w:rsidR="00ED1FB0" w:rsidRPr="00B2324A" w:rsidRDefault="00ED1FB0" w:rsidP="008171FE">
            <w:pPr>
              <w:rPr>
                <w:rFonts w:cs="Calibri"/>
                <w:color w:val="000000"/>
                <w:sz w:val="18"/>
                <w:szCs w:val="18"/>
              </w:rPr>
            </w:pPr>
            <w:r w:rsidRPr="00B2324A">
              <w:rPr>
                <w:rFonts w:cs="Calibri"/>
                <w:color w:val="000000"/>
                <w:sz w:val="18"/>
                <w:szCs w:val="18"/>
              </w:rPr>
              <w:t> </w:t>
            </w:r>
          </w:p>
        </w:tc>
      </w:tr>
      <w:tr w:rsidR="00ED1FB0" w14:paraId="6E2C8AAD" w14:textId="77777777" w:rsidTr="008171FE">
        <w:trPr>
          <w:trHeight w:val="290"/>
        </w:trPr>
        <w:tc>
          <w:tcPr>
            <w:tcW w:w="5499" w:type="dxa"/>
            <w:tcBorders>
              <w:top w:val="single" w:sz="4" w:space="0" w:color="auto"/>
              <w:left w:val="single" w:sz="4" w:space="0" w:color="auto"/>
              <w:bottom w:val="nil"/>
              <w:right w:val="single" w:sz="4" w:space="0" w:color="auto"/>
            </w:tcBorders>
            <w:shd w:val="clear" w:color="auto" w:fill="F2F2F2" w:themeFill="background1" w:themeFillShade="F2"/>
            <w:hideMark/>
          </w:tcPr>
          <w:p w14:paraId="68A086BB" w14:textId="77777777" w:rsidR="00ED1FB0" w:rsidRPr="00B2324A" w:rsidRDefault="00ED1FB0" w:rsidP="008171FE">
            <w:pPr>
              <w:rPr>
                <w:rFonts w:cs="Calibri"/>
                <w:b/>
                <w:bCs/>
                <w:color w:val="000000"/>
                <w:sz w:val="18"/>
                <w:szCs w:val="18"/>
              </w:rPr>
            </w:pPr>
            <w:r w:rsidRPr="00B2324A">
              <w:rPr>
                <w:rFonts w:cs="Calibri"/>
                <w:b/>
                <w:bCs/>
                <w:color w:val="000000"/>
                <w:sz w:val="18"/>
                <w:szCs w:val="18"/>
              </w:rPr>
              <w:t>RESULTATSAMMANSTÄLLNING</w:t>
            </w:r>
          </w:p>
        </w:tc>
        <w:tc>
          <w:tcPr>
            <w:tcW w:w="1460" w:type="dxa"/>
            <w:tcBorders>
              <w:top w:val="single" w:sz="4" w:space="0" w:color="auto"/>
              <w:left w:val="nil"/>
              <w:bottom w:val="nil"/>
              <w:right w:val="single" w:sz="4" w:space="0" w:color="auto"/>
            </w:tcBorders>
            <w:shd w:val="clear" w:color="auto" w:fill="F2F2F2" w:themeFill="background1" w:themeFillShade="F2"/>
            <w:noWrap/>
            <w:vAlign w:val="bottom"/>
            <w:hideMark/>
          </w:tcPr>
          <w:p w14:paraId="715D9197" w14:textId="77777777" w:rsidR="00ED1FB0" w:rsidRPr="00B2324A" w:rsidRDefault="00ED1FB0" w:rsidP="008171FE">
            <w:pPr>
              <w:jc w:val="center"/>
              <w:rPr>
                <w:rFonts w:cs="Arial"/>
                <w:b/>
                <w:bCs/>
                <w:sz w:val="18"/>
                <w:szCs w:val="18"/>
              </w:rPr>
            </w:pPr>
            <w:r w:rsidRPr="00B2324A">
              <w:rPr>
                <w:rFonts w:cs="Arial"/>
                <w:b/>
                <w:bCs/>
                <w:sz w:val="18"/>
                <w:szCs w:val="18"/>
              </w:rPr>
              <w:t>Budget</w:t>
            </w:r>
          </w:p>
        </w:tc>
        <w:tc>
          <w:tcPr>
            <w:tcW w:w="1460" w:type="dxa"/>
            <w:tcBorders>
              <w:top w:val="single" w:sz="4" w:space="0" w:color="auto"/>
              <w:left w:val="nil"/>
              <w:bottom w:val="nil"/>
              <w:right w:val="single" w:sz="4" w:space="0" w:color="auto"/>
            </w:tcBorders>
            <w:shd w:val="clear" w:color="auto" w:fill="F2F2F2" w:themeFill="background1" w:themeFillShade="F2"/>
            <w:noWrap/>
            <w:vAlign w:val="bottom"/>
            <w:hideMark/>
          </w:tcPr>
          <w:p w14:paraId="2DA75002" w14:textId="77777777" w:rsidR="00ED1FB0" w:rsidRPr="00B2324A" w:rsidRDefault="00ED1FB0" w:rsidP="008171FE">
            <w:pPr>
              <w:jc w:val="center"/>
              <w:rPr>
                <w:rFonts w:cs="Arial"/>
                <w:b/>
                <w:bCs/>
                <w:sz w:val="18"/>
                <w:szCs w:val="18"/>
              </w:rPr>
            </w:pPr>
            <w:r w:rsidRPr="00B2324A">
              <w:rPr>
                <w:rFonts w:cs="Arial"/>
                <w:b/>
                <w:bCs/>
                <w:sz w:val="18"/>
                <w:szCs w:val="18"/>
              </w:rPr>
              <w:t>Prognos</w:t>
            </w:r>
          </w:p>
        </w:tc>
        <w:tc>
          <w:tcPr>
            <w:tcW w:w="1440" w:type="dxa"/>
            <w:tcBorders>
              <w:top w:val="single" w:sz="4" w:space="0" w:color="auto"/>
              <w:left w:val="nil"/>
              <w:bottom w:val="nil"/>
              <w:right w:val="single" w:sz="4" w:space="0" w:color="auto"/>
            </w:tcBorders>
            <w:shd w:val="clear" w:color="auto" w:fill="F2F2F2" w:themeFill="background1" w:themeFillShade="F2"/>
            <w:noWrap/>
            <w:vAlign w:val="bottom"/>
            <w:hideMark/>
          </w:tcPr>
          <w:p w14:paraId="06B523D6" w14:textId="77777777" w:rsidR="00ED1FB0" w:rsidRPr="00B2324A" w:rsidRDefault="00ED1FB0" w:rsidP="008171FE">
            <w:pPr>
              <w:jc w:val="center"/>
              <w:rPr>
                <w:rFonts w:cs="Arial"/>
                <w:b/>
                <w:bCs/>
                <w:sz w:val="18"/>
                <w:szCs w:val="18"/>
              </w:rPr>
            </w:pPr>
            <w:r w:rsidRPr="00B2324A">
              <w:rPr>
                <w:rFonts w:cs="Arial"/>
                <w:b/>
                <w:bCs/>
                <w:sz w:val="18"/>
                <w:szCs w:val="18"/>
              </w:rPr>
              <w:t>Budget</w:t>
            </w:r>
          </w:p>
        </w:tc>
      </w:tr>
      <w:tr w:rsidR="00ED1FB0" w14:paraId="4638D5FF" w14:textId="77777777" w:rsidTr="008171FE">
        <w:trPr>
          <w:trHeight w:val="290"/>
        </w:trPr>
        <w:tc>
          <w:tcPr>
            <w:tcW w:w="549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3DD1090E" w14:textId="77777777" w:rsidR="00ED1FB0" w:rsidRPr="00B2324A" w:rsidRDefault="00ED1FB0" w:rsidP="008171FE">
            <w:pPr>
              <w:rPr>
                <w:rFonts w:cs="Calibri"/>
                <w:color w:val="000000"/>
                <w:sz w:val="18"/>
                <w:szCs w:val="18"/>
              </w:rPr>
            </w:pPr>
            <w:r w:rsidRPr="00B2324A">
              <w:rPr>
                <w:rFonts w:cs="Calibri"/>
                <w:color w:val="000000"/>
                <w:sz w:val="18"/>
                <w:szCs w:val="18"/>
              </w:rPr>
              <w:t> </w:t>
            </w:r>
          </w:p>
        </w:tc>
        <w:tc>
          <w:tcPr>
            <w:tcW w:w="1460" w:type="dxa"/>
            <w:tcBorders>
              <w:top w:val="nil"/>
              <w:left w:val="nil"/>
              <w:bottom w:val="single" w:sz="4" w:space="0" w:color="auto"/>
              <w:right w:val="single" w:sz="4" w:space="0" w:color="auto"/>
            </w:tcBorders>
            <w:shd w:val="clear" w:color="auto" w:fill="F2F2F2" w:themeFill="background1" w:themeFillShade="F2"/>
            <w:noWrap/>
            <w:vAlign w:val="bottom"/>
            <w:hideMark/>
          </w:tcPr>
          <w:p w14:paraId="175541D1" w14:textId="77777777" w:rsidR="00ED1FB0" w:rsidRPr="00B2324A" w:rsidRDefault="00ED1FB0" w:rsidP="008171FE">
            <w:pPr>
              <w:jc w:val="center"/>
              <w:rPr>
                <w:rFonts w:cs="Arial"/>
                <w:b/>
                <w:bCs/>
                <w:sz w:val="18"/>
                <w:szCs w:val="18"/>
              </w:rPr>
            </w:pPr>
            <w:r w:rsidRPr="00B2324A">
              <w:rPr>
                <w:rFonts w:cs="Arial"/>
                <w:b/>
                <w:bCs/>
                <w:sz w:val="18"/>
                <w:szCs w:val="18"/>
              </w:rPr>
              <w:t xml:space="preserve">2024, mkr </w:t>
            </w:r>
          </w:p>
        </w:tc>
        <w:tc>
          <w:tcPr>
            <w:tcW w:w="1460" w:type="dxa"/>
            <w:tcBorders>
              <w:top w:val="nil"/>
              <w:left w:val="nil"/>
              <w:bottom w:val="single" w:sz="4" w:space="0" w:color="auto"/>
              <w:right w:val="single" w:sz="4" w:space="0" w:color="auto"/>
            </w:tcBorders>
            <w:shd w:val="clear" w:color="auto" w:fill="F2F2F2" w:themeFill="background1" w:themeFillShade="F2"/>
            <w:noWrap/>
            <w:vAlign w:val="bottom"/>
            <w:hideMark/>
          </w:tcPr>
          <w:p w14:paraId="3CCABFB3" w14:textId="77777777" w:rsidR="00ED1FB0" w:rsidRPr="00B2324A" w:rsidRDefault="00ED1FB0" w:rsidP="008171FE">
            <w:pPr>
              <w:jc w:val="center"/>
              <w:rPr>
                <w:rFonts w:cs="Arial"/>
                <w:b/>
                <w:bCs/>
                <w:sz w:val="18"/>
                <w:szCs w:val="18"/>
              </w:rPr>
            </w:pPr>
            <w:proofErr w:type="gramStart"/>
            <w:r w:rsidRPr="00B2324A">
              <w:rPr>
                <w:rFonts w:cs="Arial"/>
                <w:b/>
                <w:bCs/>
                <w:sz w:val="18"/>
                <w:szCs w:val="18"/>
              </w:rPr>
              <w:t>2024-10</w:t>
            </w:r>
            <w:proofErr w:type="gramEnd"/>
            <w:r w:rsidRPr="00B2324A">
              <w:rPr>
                <w:rFonts w:cs="Arial"/>
                <w:b/>
                <w:bCs/>
                <w:sz w:val="18"/>
                <w:szCs w:val="18"/>
              </w:rPr>
              <w:t>, mkr</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14:paraId="49290886" w14:textId="77777777" w:rsidR="00ED1FB0" w:rsidRPr="00B2324A" w:rsidRDefault="00ED1FB0" w:rsidP="008171FE">
            <w:pPr>
              <w:jc w:val="center"/>
              <w:rPr>
                <w:rFonts w:cs="Arial"/>
                <w:b/>
                <w:bCs/>
                <w:sz w:val="18"/>
                <w:szCs w:val="18"/>
              </w:rPr>
            </w:pPr>
            <w:r w:rsidRPr="00B2324A">
              <w:rPr>
                <w:rFonts w:cs="Arial"/>
                <w:b/>
                <w:bCs/>
                <w:sz w:val="18"/>
                <w:szCs w:val="18"/>
              </w:rPr>
              <w:t xml:space="preserve">2025, mkr </w:t>
            </w:r>
          </w:p>
        </w:tc>
      </w:tr>
      <w:tr w:rsidR="00ED1FB0" w14:paraId="361E65CA" w14:textId="77777777" w:rsidTr="008171FE">
        <w:trPr>
          <w:trHeight w:val="290"/>
        </w:trPr>
        <w:tc>
          <w:tcPr>
            <w:tcW w:w="5499" w:type="dxa"/>
            <w:tcBorders>
              <w:top w:val="nil"/>
              <w:left w:val="single" w:sz="4" w:space="0" w:color="auto"/>
              <w:bottom w:val="nil"/>
              <w:right w:val="single" w:sz="4" w:space="0" w:color="auto"/>
            </w:tcBorders>
            <w:shd w:val="clear" w:color="auto" w:fill="auto"/>
            <w:vAlign w:val="bottom"/>
            <w:hideMark/>
          </w:tcPr>
          <w:p w14:paraId="0D765EE6" w14:textId="77777777" w:rsidR="00ED1FB0" w:rsidRPr="00B2324A" w:rsidRDefault="00ED1FB0" w:rsidP="008171FE">
            <w:pPr>
              <w:rPr>
                <w:rFonts w:cs="Calibri"/>
                <w:color w:val="000000"/>
                <w:sz w:val="18"/>
                <w:szCs w:val="18"/>
              </w:rPr>
            </w:pPr>
            <w:r w:rsidRPr="00B2324A">
              <w:rPr>
                <w:rFonts w:cs="Calibri"/>
                <w:color w:val="000000"/>
                <w:sz w:val="18"/>
                <w:szCs w:val="18"/>
              </w:rPr>
              <w:t>Försäljning av verksamhet, varor och tjänster</w:t>
            </w:r>
          </w:p>
        </w:tc>
        <w:tc>
          <w:tcPr>
            <w:tcW w:w="1460" w:type="dxa"/>
            <w:tcBorders>
              <w:top w:val="nil"/>
              <w:left w:val="nil"/>
              <w:bottom w:val="nil"/>
              <w:right w:val="single" w:sz="4" w:space="0" w:color="auto"/>
            </w:tcBorders>
            <w:shd w:val="clear" w:color="auto" w:fill="auto"/>
            <w:vAlign w:val="bottom"/>
            <w:hideMark/>
          </w:tcPr>
          <w:p w14:paraId="11234711" w14:textId="77777777" w:rsidR="00ED1FB0" w:rsidRPr="00B2324A" w:rsidRDefault="00ED1FB0" w:rsidP="008171FE">
            <w:pPr>
              <w:jc w:val="right"/>
              <w:rPr>
                <w:rFonts w:cs="Calibri"/>
                <w:color w:val="000000"/>
                <w:sz w:val="18"/>
                <w:szCs w:val="18"/>
              </w:rPr>
            </w:pPr>
            <w:r w:rsidRPr="00B2324A">
              <w:rPr>
                <w:rFonts w:cs="Calibri"/>
                <w:color w:val="000000"/>
                <w:sz w:val="18"/>
                <w:szCs w:val="18"/>
              </w:rPr>
              <w:t>626,0</w:t>
            </w:r>
          </w:p>
        </w:tc>
        <w:tc>
          <w:tcPr>
            <w:tcW w:w="1460" w:type="dxa"/>
            <w:tcBorders>
              <w:top w:val="nil"/>
              <w:left w:val="nil"/>
              <w:bottom w:val="nil"/>
              <w:right w:val="single" w:sz="4" w:space="0" w:color="auto"/>
            </w:tcBorders>
            <w:shd w:val="clear" w:color="auto" w:fill="auto"/>
            <w:vAlign w:val="bottom"/>
            <w:hideMark/>
          </w:tcPr>
          <w:p w14:paraId="116A22C8" w14:textId="77777777" w:rsidR="00ED1FB0" w:rsidRPr="00B2324A" w:rsidRDefault="00ED1FB0" w:rsidP="008171FE">
            <w:pPr>
              <w:jc w:val="right"/>
              <w:rPr>
                <w:rFonts w:cs="Calibri"/>
                <w:sz w:val="18"/>
                <w:szCs w:val="18"/>
              </w:rPr>
            </w:pPr>
            <w:r w:rsidRPr="00B2324A">
              <w:rPr>
                <w:rFonts w:cs="Calibri"/>
                <w:sz w:val="18"/>
                <w:szCs w:val="18"/>
              </w:rPr>
              <w:t>607,9</w:t>
            </w:r>
          </w:p>
        </w:tc>
        <w:tc>
          <w:tcPr>
            <w:tcW w:w="1440" w:type="dxa"/>
            <w:tcBorders>
              <w:top w:val="nil"/>
              <w:left w:val="nil"/>
              <w:bottom w:val="nil"/>
              <w:right w:val="single" w:sz="4" w:space="0" w:color="auto"/>
            </w:tcBorders>
            <w:shd w:val="clear" w:color="auto" w:fill="auto"/>
            <w:vAlign w:val="bottom"/>
            <w:hideMark/>
          </w:tcPr>
          <w:p w14:paraId="2FC510B3" w14:textId="77777777" w:rsidR="00ED1FB0" w:rsidRPr="00B2324A" w:rsidRDefault="00ED1FB0" w:rsidP="008171FE">
            <w:pPr>
              <w:jc w:val="right"/>
              <w:rPr>
                <w:rFonts w:cs="Calibri"/>
                <w:color w:val="000000"/>
                <w:sz w:val="18"/>
                <w:szCs w:val="18"/>
              </w:rPr>
            </w:pPr>
            <w:r w:rsidRPr="00B2324A">
              <w:rPr>
                <w:rFonts w:cs="Calibri"/>
                <w:color w:val="000000"/>
                <w:sz w:val="18"/>
                <w:szCs w:val="18"/>
              </w:rPr>
              <w:t>712,4</w:t>
            </w:r>
          </w:p>
        </w:tc>
      </w:tr>
      <w:tr w:rsidR="00ED1FB0" w14:paraId="7D241757" w14:textId="77777777" w:rsidTr="008171FE">
        <w:trPr>
          <w:trHeight w:val="290"/>
        </w:trPr>
        <w:tc>
          <w:tcPr>
            <w:tcW w:w="5499" w:type="dxa"/>
            <w:tcBorders>
              <w:top w:val="nil"/>
              <w:left w:val="single" w:sz="4" w:space="0" w:color="auto"/>
              <w:bottom w:val="nil"/>
              <w:right w:val="single" w:sz="4" w:space="0" w:color="auto"/>
            </w:tcBorders>
            <w:shd w:val="clear" w:color="auto" w:fill="auto"/>
            <w:vAlign w:val="bottom"/>
            <w:hideMark/>
          </w:tcPr>
          <w:p w14:paraId="4733CA27" w14:textId="77777777" w:rsidR="00ED1FB0" w:rsidRPr="00B2324A" w:rsidRDefault="00ED1FB0" w:rsidP="008171FE">
            <w:pPr>
              <w:rPr>
                <w:rFonts w:cs="Calibri"/>
                <w:color w:val="000000"/>
                <w:sz w:val="18"/>
                <w:szCs w:val="18"/>
              </w:rPr>
            </w:pPr>
            <w:r w:rsidRPr="00B2324A">
              <w:rPr>
                <w:rFonts w:cs="Calibri"/>
                <w:color w:val="000000"/>
                <w:sz w:val="18"/>
                <w:szCs w:val="18"/>
              </w:rPr>
              <w:t>Hyresintäkter</w:t>
            </w:r>
          </w:p>
        </w:tc>
        <w:tc>
          <w:tcPr>
            <w:tcW w:w="1460" w:type="dxa"/>
            <w:tcBorders>
              <w:top w:val="nil"/>
              <w:left w:val="nil"/>
              <w:bottom w:val="nil"/>
              <w:right w:val="single" w:sz="4" w:space="0" w:color="auto"/>
            </w:tcBorders>
            <w:shd w:val="clear" w:color="auto" w:fill="auto"/>
            <w:vAlign w:val="bottom"/>
            <w:hideMark/>
          </w:tcPr>
          <w:p w14:paraId="28DF16DB" w14:textId="77777777" w:rsidR="00ED1FB0" w:rsidRPr="00B2324A" w:rsidRDefault="00ED1FB0" w:rsidP="008171FE">
            <w:pPr>
              <w:jc w:val="right"/>
              <w:rPr>
                <w:rFonts w:cs="Calibri"/>
                <w:color w:val="000000"/>
                <w:sz w:val="18"/>
                <w:szCs w:val="18"/>
              </w:rPr>
            </w:pPr>
            <w:r w:rsidRPr="00B2324A">
              <w:rPr>
                <w:rFonts w:cs="Calibri"/>
                <w:color w:val="000000"/>
                <w:sz w:val="18"/>
                <w:szCs w:val="18"/>
              </w:rPr>
              <w:t>3 222,8</w:t>
            </w:r>
          </w:p>
        </w:tc>
        <w:tc>
          <w:tcPr>
            <w:tcW w:w="1460" w:type="dxa"/>
            <w:tcBorders>
              <w:top w:val="nil"/>
              <w:left w:val="nil"/>
              <w:bottom w:val="nil"/>
              <w:right w:val="single" w:sz="4" w:space="0" w:color="auto"/>
            </w:tcBorders>
            <w:shd w:val="clear" w:color="auto" w:fill="auto"/>
            <w:vAlign w:val="bottom"/>
            <w:hideMark/>
          </w:tcPr>
          <w:p w14:paraId="117C9D7D" w14:textId="77777777" w:rsidR="00ED1FB0" w:rsidRPr="00B2324A" w:rsidRDefault="00ED1FB0" w:rsidP="008171FE">
            <w:pPr>
              <w:jc w:val="right"/>
              <w:rPr>
                <w:rFonts w:cs="Calibri"/>
                <w:sz w:val="18"/>
                <w:szCs w:val="18"/>
              </w:rPr>
            </w:pPr>
            <w:r w:rsidRPr="00B2324A">
              <w:rPr>
                <w:rFonts w:cs="Calibri"/>
                <w:sz w:val="18"/>
                <w:szCs w:val="18"/>
              </w:rPr>
              <w:t>3 200,6</w:t>
            </w:r>
          </w:p>
        </w:tc>
        <w:tc>
          <w:tcPr>
            <w:tcW w:w="1440" w:type="dxa"/>
            <w:tcBorders>
              <w:top w:val="nil"/>
              <w:left w:val="nil"/>
              <w:bottom w:val="nil"/>
              <w:right w:val="single" w:sz="4" w:space="0" w:color="auto"/>
            </w:tcBorders>
            <w:shd w:val="clear" w:color="auto" w:fill="auto"/>
            <w:vAlign w:val="bottom"/>
            <w:hideMark/>
          </w:tcPr>
          <w:p w14:paraId="74B27449" w14:textId="77777777" w:rsidR="00ED1FB0" w:rsidRPr="00B2324A" w:rsidRDefault="00ED1FB0" w:rsidP="008171FE">
            <w:pPr>
              <w:jc w:val="right"/>
              <w:rPr>
                <w:rFonts w:cs="Calibri"/>
                <w:color w:val="000000"/>
                <w:sz w:val="18"/>
                <w:szCs w:val="18"/>
              </w:rPr>
            </w:pPr>
            <w:r w:rsidRPr="00B2324A">
              <w:rPr>
                <w:rFonts w:cs="Calibri"/>
                <w:color w:val="000000"/>
                <w:sz w:val="18"/>
                <w:szCs w:val="18"/>
              </w:rPr>
              <w:t>3 510,8</w:t>
            </w:r>
          </w:p>
        </w:tc>
      </w:tr>
      <w:tr w:rsidR="00ED1FB0" w14:paraId="2A888ED5" w14:textId="77777777" w:rsidTr="008171FE">
        <w:trPr>
          <w:trHeight w:val="290"/>
        </w:trPr>
        <w:tc>
          <w:tcPr>
            <w:tcW w:w="5499" w:type="dxa"/>
            <w:tcBorders>
              <w:top w:val="nil"/>
              <w:left w:val="single" w:sz="4" w:space="0" w:color="auto"/>
              <w:bottom w:val="nil"/>
              <w:right w:val="single" w:sz="4" w:space="0" w:color="auto"/>
            </w:tcBorders>
            <w:shd w:val="clear" w:color="auto" w:fill="auto"/>
            <w:vAlign w:val="bottom"/>
            <w:hideMark/>
          </w:tcPr>
          <w:p w14:paraId="6CA06A80" w14:textId="77777777" w:rsidR="00ED1FB0" w:rsidRPr="00B2324A" w:rsidRDefault="00ED1FB0" w:rsidP="008171FE">
            <w:pPr>
              <w:rPr>
                <w:rFonts w:cs="Calibri"/>
                <w:color w:val="000000"/>
                <w:sz w:val="18"/>
                <w:szCs w:val="18"/>
              </w:rPr>
            </w:pPr>
            <w:r w:rsidRPr="00B2324A">
              <w:rPr>
                <w:rFonts w:cs="Calibri"/>
                <w:color w:val="000000"/>
                <w:sz w:val="18"/>
                <w:szCs w:val="18"/>
              </w:rPr>
              <w:t xml:space="preserve">Övriga intäkter och bidrag </w:t>
            </w:r>
            <w:proofErr w:type="spellStart"/>
            <w:r w:rsidRPr="00B2324A">
              <w:rPr>
                <w:rFonts w:cs="Calibri"/>
                <w:color w:val="000000"/>
                <w:sz w:val="18"/>
                <w:szCs w:val="18"/>
              </w:rPr>
              <w:t>inkl</w:t>
            </w:r>
            <w:proofErr w:type="spellEnd"/>
            <w:r w:rsidRPr="00B2324A">
              <w:rPr>
                <w:rFonts w:cs="Calibri"/>
                <w:color w:val="000000"/>
                <w:sz w:val="18"/>
                <w:szCs w:val="18"/>
              </w:rPr>
              <w:t xml:space="preserve"> statsbidrag</w:t>
            </w:r>
          </w:p>
        </w:tc>
        <w:tc>
          <w:tcPr>
            <w:tcW w:w="1460" w:type="dxa"/>
            <w:tcBorders>
              <w:top w:val="nil"/>
              <w:left w:val="nil"/>
              <w:bottom w:val="nil"/>
              <w:right w:val="single" w:sz="4" w:space="0" w:color="auto"/>
            </w:tcBorders>
            <w:shd w:val="clear" w:color="auto" w:fill="auto"/>
            <w:vAlign w:val="bottom"/>
            <w:hideMark/>
          </w:tcPr>
          <w:p w14:paraId="6122A11E" w14:textId="77777777" w:rsidR="00ED1FB0" w:rsidRPr="00B2324A" w:rsidRDefault="00ED1FB0" w:rsidP="008171FE">
            <w:pPr>
              <w:jc w:val="right"/>
              <w:rPr>
                <w:rFonts w:cs="Calibri"/>
                <w:color w:val="000000"/>
                <w:sz w:val="18"/>
                <w:szCs w:val="18"/>
              </w:rPr>
            </w:pPr>
            <w:r w:rsidRPr="00B2324A">
              <w:rPr>
                <w:rFonts w:cs="Calibri"/>
                <w:color w:val="000000"/>
                <w:sz w:val="18"/>
                <w:szCs w:val="18"/>
              </w:rPr>
              <w:t>19,1</w:t>
            </w:r>
          </w:p>
        </w:tc>
        <w:tc>
          <w:tcPr>
            <w:tcW w:w="1460" w:type="dxa"/>
            <w:tcBorders>
              <w:top w:val="nil"/>
              <w:left w:val="nil"/>
              <w:bottom w:val="nil"/>
              <w:right w:val="single" w:sz="4" w:space="0" w:color="auto"/>
            </w:tcBorders>
            <w:shd w:val="clear" w:color="auto" w:fill="auto"/>
            <w:vAlign w:val="bottom"/>
            <w:hideMark/>
          </w:tcPr>
          <w:p w14:paraId="088BD60A" w14:textId="77777777" w:rsidR="00ED1FB0" w:rsidRPr="00B2324A" w:rsidRDefault="00ED1FB0" w:rsidP="008171FE">
            <w:pPr>
              <w:jc w:val="right"/>
              <w:rPr>
                <w:rFonts w:cs="Calibri"/>
                <w:color w:val="000000"/>
                <w:sz w:val="18"/>
                <w:szCs w:val="18"/>
              </w:rPr>
            </w:pPr>
            <w:r w:rsidRPr="00B2324A">
              <w:rPr>
                <w:rFonts w:cs="Calibri"/>
                <w:color w:val="000000"/>
                <w:sz w:val="18"/>
                <w:szCs w:val="18"/>
              </w:rPr>
              <w:t>28,3</w:t>
            </w:r>
          </w:p>
        </w:tc>
        <w:tc>
          <w:tcPr>
            <w:tcW w:w="1440" w:type="dxa"/>
            <w:tcBorders>
              <w:top w:val="nil"/>
              <w:left w:val="nil"/>
              <w:bottom w:val="nil"/>
              <w:right w:val="single" w:sz="4" w:space="0" w:color="auto"/>
            </w:tcBorders>
            <w:shd w:val="clear" w:color="auto" w:fill="auto"/>
            <w:vAlign w:val="bottom"/>
            <w:hideMark/>
          </w:tcPr>
          <w:p w14:paraId="779F04D0" w14:textId="77777777" w:rsidR="00ED1FB0" w:rsidRPr="00B2324A" w:rsidRDefault="00ED1FB0" w:rsidP="008171FE">
            <w:pPr>
              <w:jc w:val="right"/>
              <w:rPr>
                <w:rFonts w:cs="Calibri"/>
                <w:color w:val="000000"/>
                <w:sz w:val="18"/>
                <w:szCs w:val="18"/>
              </w:rPr>
            </w:pPr>
            <w:r w:rsidRPr="00B2324A">
              <w:rPr>
                <w:rFonts w:cs="Calibri"/>
                <w:color w:val="000000"/>
                <w:sz w:val="18"/>
                <w:szCs w:val="18"/>
              </w:rPr>
              <w:t>13,7</w:t>
            </w:r>
          </w:p>
        </w:tc>
      </w:tr>
      <w:tr w:rsidR="00ED1FB0" w14:paraId="0ABD93FA" w14:textId="77777777" w:rsidTr="008171FE">
        <w:trPr>
          <w:trHeight w:val="290"/>
        </w:trPr>
        <w:tc>
          <w:tcPr>
            <w:tcW w:w="549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DC512D" w14:textId="77777777" w:rsidR="00ED1FB0" w:rsidRPr="00B2324A" w:rsidRDefault="00ED1FB0" w:rsidP="008171FE">
            <w:pPr>
              <w:rPr>
                <w:rFonts w:cs="Calibri"/>
                <w:b/>
                <w:bCs/>
                <w:color w:val="000000"/>
                <w:sz w:val="18"/>
                <w:szCs w:val="18"/>
              </w:rPr>
            </w:pPr>
            <w:r w:rsidRPr="00B2324A">
              <w:rPr>
                <w:rFonts w:cs="Calibri"/>
                <w:b/>
                <w:bCs/>
                <w:color w:val="000000"/>
                <w:sz w:val="18"/>
                <w:szCs w:val="18"/>
              </w:rPr>
              <w:t>Verksamhetens intäkter</w:t>
            </w:r>
          </w:p>
        </w:tc>
        <w:tc>
          <w:tcPr>
            <w:tcW w:w="14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46231658" w14:textId="77777777" w:rsidR="00ED1FB0" w:rsidRPr="00B2324A" w:rsidRDefault="00ED1FB0" w:rsidP="008171FE">
            <w:pPr>
              <w:jc w:val="right"/>
              <w:rPr>
                <w:rFonts w:cs="Calibri"/>
                <w:b/>
                <w:bCs/>
                <w:color w:val="000000"/>
                <w:sz w:val="18"/>
                <w:szCs w:val="18"/>
              </w:rPr>
            </w:pPr>
            <w:r w:rsidRPr="00B2324A">
              <w:rPr>
                <w:rFonts w:cs="Calibri"/>
                <w:b/>
                <w:bCs/>
                <w:color w:val="000000"/>
                <w:sz w:val="18"/>
                <w:szCs w:val="18"/>
              </w:rPr>
              <w:t>3867,8</w:t>
            </w:r>
          </w:p>
        </w:tc>
        <w:tc>
          <w:tcPr>
            <w:tcW w:w="14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4B1D167E" w14:textId="77777777" w:rsidR="00ED1FB0" w:rsidRPr="00B2324A" w:rsidRDefault="00ED1FB0" w:rsidP="008171FE">
            <w:pPr>
              <w:jc w:val="right"/>
              <w:rPr>
                <w:rFonts w:cs="Calibri"/>
                <w:b/>
                <w:bCs/>
                <w:color w:val="000000"/>
                <w:sz w:val="18"/>
                <w:szCs w:val="18"/>
              </w:rPr>
            </w:pPr>
            <w:r w:rsidRPr="00B2324A">
              <w:rPr>
                <w:rFonts w:cs="Calibri"/>
                <w:b/>
                <w:bCs/>
                <w:color w:val="000000"/>
                <w:sz w:val="18"/>
                <w:szCs w:val="18"/>
              </w:rPr>
              <w:t>3836,8</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35F4C886" w14:textId="77777777" w:rsidR="00ED1FB0" w:rsidRPr="00B2324A" w:rsidRDefault="00ED1FB0" w:rsidP="008171FE">
            <w:pPr>
              <w:jc w:val="right"/>
              <w:rPr>
                <w:rFonts w:cs="Calibri"/>
                <w:b/>
                <w:bCs/>
                <w:color w:val="000000"/>
                <w:sz w:val="18"/>
                <w:szCs w:val="18"/>
              </w:rPr>
            </w:pPr>
            <w:r w:rsidRPr="00B2324A">
              <w:rPr>
                <w:rFonts w:cs="Calibri"/>
                <w:b/>
                <w:bCs/>
                <w:color w:val="000000"/>
                <w:sz w:val="18"/>
                <w:szCs w:val="18"/>
              </w:rPr>
              <w:t>4237,0</w:t>
            </w:r>
          </w:p>
        </w:tc>
      </w:tr>
      <w:tr w:rsidR="00ED1FB0" w14:paraId="7F40D70D" w14:textId="77777777" w:rsidTr="008171FE">
        <w:trPr>
          <w:trHeight w:val="290"/>
        </w:trPr>
        <w:tc>
          <w:tcPr>
            <w:tcW w:w="5499" w:type="dxa"/>
            <w:tcBorders>
              <w:top w:val="nil"/>
              <w:left w:val="single" w:sz="4" w:space="0" w:color="auto"/>
              <w:bottom w:val="nil"/>
              <w:right w:val="single" w:sz="4" w:space="0" w:color="auto"/>
            </w:tcBorders>
            <w:shd w:val="clear" w:color="auto" w:fill="auto"/>
            <w:noWrap/>
            <w:vAlign w:val="bottom"/>
            <w:hideMark/>
          </w:tcPr>
          <w:p w14:paraId="25E28263" w14:textId="77777777" w:rsidR="00ED1FB0" w:rsidRPr="00B2324A" w:rsidRDefault="00ED1FB0" w:rsidP="008171FE">
            <w:pPr>
              <w:rPr>
                <w:rFonts w:cs="Calibri"/>
                <w:color w:val="000000"/>
                <w:sz w:val="18"/>
                <w:szCs w:val="18"/>
              </w:rPr>
            </w:pPr>
            <w:r w:rsidRPr="00B2324A">
              <w:rPr>
                <w:rFonts w:cs="Calibri"/>
                <w:color w:val="000000"/>
                <w:sz w:val="18"/>
                <w:szCs w:val="18"/>
              </w:rPr>
              <w:t>Personalkostnader</w:t>
            </w:r>
          </w:p>
        </w:tc>
        <w:tc>
          <w:tcPr>
            <w:tcW w:w="1460" w:type="dxa"/>
            <w:tcBorders>
              <w:top w:val="nil"/>
              <w:left w:val="nil"/>
              <w:bottom w:val="nil"/>
              <w:right w:val="single" w:sz="4" w:space="0" w:color="auto"/>
            </w:tcBorders>
            <w:shd w:val="clear" w:color="auto" w:fill="auto"/>
            <w:vAlign w:val="bottom"/>
            <w:hideMark/>
          </w:tcPr>
          <w:p w14:paraId="7DB0DC03" w14:textId="77777777" w:rsidR="00ED1FB0" w:rsidRPr="00B2324A" w:rsidRDefault="00ED1FB0" w:rsidP="008171FE">
            <w:pPr>
              <w:jc w:val="right"/>
              <w:rPr>
                <w:rFonts w:cs="Calibri"/>
                <w:color w:val="000000"/>
                <w:sz w:val="18"/>
                <w:szCs w:val="18"/>
              </w:rPr>
            </w:pPr>
            <w:r w:rsidRPr="00B2324A">
              <w:rPr>
                <w:rFonts w:cs="Calibri"/>
                <w:color w:val="000000"/>
                <w:sz w:val="18"/>
                <w:szCs w:val="18"/>
              </w:rPr>
              <w:t>-447,8</w:t>
            </w:r>
          </w:p>
        </w:tc>
        <w:tc>
          <w:tcPr>
            <w:tcW w:w="1460" w:type="dxa"/>
            <w:tcBorders>
              <w:top w:val="nil"/>
              <w:left w:val="nil"/>
              <w:bottom w:val="nil"/>
              <w:right w:val="single" w:sz="4" w:space="0" w:color="auto"/>
            </w:tcBorders>
            <w:shd w:val="clear" w:color="auto" w:fill="auto"/>
            <w:vAlign w:val="bottom"/>
            <w:hideMark/>
          </w:tcPr>
          <w:p w14:paraId="04F56D4F" w14:textId="77777777" w:rsidR="00ED1FB0" w:rsidRPr="00B2324A" w:rsidRDefault="00ED1FB0" w:rsidP="008171FE">
            <w:pPr>
              <w:jc w:val="right"/>
              <w:rPr>
                <w:rFonts w:cs="Calibri"/>
                <w:color w:val="000000"/>
                <w:sz w:val="18"/>
                <w:szCs w:val="18"/>
              </w:rPr>
            </w:pPr>
            <w:r w:rsidRPr="00B2324A">
              <w:rPr>
                <w:rFonts w:cs="Calibri"/>
                <w:color w:val="000000"/>
                <w:sz w:val="18"/>
                <w:szCs w:val="18"/>
              </w:rPr>
              <w:t>-407,0</w:t>
            </w:r>
          </w:p>
        </w:tc>
        <w:tc>
          <w:tcPr>
            <w:tcW w:w="1440" w:type="dxa"/>
            <w:tcBorders>
              <w:top w:val="nil"/>
              <w:left w:val="nil"/>
              <w:bottom w:val="nil"/>
              <w:right w:val="single" w:sz="4" w:space="0" w:color="auto"/>
            </w:tcBorders>
            <w:shd w:val="clear" w:color="auto" w:fill="auto"/>
            <w:vAlign w:val="bottom"/>
            <w:hideMark/>
          </w:tcPr>
          <w:p w14:paraId="566F19E2" w14:textId="77777777" w:rsidR="00ED1FB0" w:rsidRPr="00B2324A" w:rsidRDefault="00ED1FB0" w:rsidP="008171FE">
            <w:pPr>
              <w:jc w:val="right"/>
              <w:rPr>
                <w:rFonts w:cs="Calibri"/>
                <w:color w:val="000000"/>
                <w:sz w:val="18"/>
                <w:szCs w:val="18"/>
              </w:rPr>
            </w:pPr>
            <w:r w:rsidRPr="00B2324A">
              <w:rPr>
                <w:rFonts w:cs="Calibri"/>
                <w:color w:val="000000"/>
                <w:sz w:val="18"/>
                <w:szCs w:val="18"/>
              </w:rPr>
              <w:t>-469,7</w:t>
            </w:r>
          </w:p>
        </w:tc>
      </w:tr>
      <w:tr w:rsidR="00ED1FB0" w14:paraId="5F28AE94" w14:textId="77777777" w:rsidTr="008171FE">
        <w:trPr>
          <w:trHeight w:val="290"/>
        </w:trPr>
        <w:tc>
          <w:tcPr>
            <w:tcW w:w="5499" w:type="dxa"/>
            <w:tcBorders>
              <w:top w:val="nil"/>
              <w:left w:val="single" w:sz="4" w:space="0" w:color="auto"/>
              <w:bottom w:val="nil"/>
              <w:right w:val="single" w:sz="4" w:space="0" w:color="auto"/>
            </w:tcBorders>
            <w:shd w:val="clear" w:color="auto" w:fill="auto"/>
            <w:vAlign w:val="bottom"/>
            <w:hideMark/>
          </w:tcPr>
          <w:p w14:paraId="758719C3" w14:textId="77777777" w:rsidR="00ED1FB0" w:rsidRPr="00B2324A" w:rsidRDefault="00ED1FB0" w:rsidP="008171FE">
            <w:pPr>
              <w:rPr>
                <w:rFonts w:cs="Calibri"/>
                <w:color w:val="000000"/>
                <w:sz w:val="18"/>
                <w:szCs w:val="18"/>
              </w:rPr>
            </w:pPr>
            <w:r w:rsidRPr="00B2324A">
              <w:rPr>
                <w:rFonts w:cs="Calibri"/>
                <w:color w:val="000000"/>
                <w:sz w:val="18"/>
                <w:szCs w:val="18"/>
              </w:rPr>
              <w:t>Media</w:t>
            </w:r>
          </w:p>
        </w:tc>
        <w:tc>
          <w:tcPr>
            <w:tcW w:w="1460" w:type="dxa"/>
            <w:tcBorders>
              <w:top w:val="nil"/>
              <w:left w:val="nil"/>
              <w:bottom w:val="nil"/>
              <w:right w:val="single" w:sz="4" w:space="0" w:color="auto"/>
            </w:tcBorders>
            <w:shd w:val="clear" w:color="auto" w:fill="auto"/>
            <w:vAlign w:val="bottom"/>
            <w:hideMark/>
          </w:tcPr>
          <w:p w14:paraId="5AF43A69" w14:textId="77777777" w:rsidR="00ED1FB0" w:rsidRPr="00B2324A" w:rsidRDefault="00ED1FB0" w:rsidP="008171FE">
            <w:pPr>
              <w:jc w:val="right"/>
              <w:rPr>
                <w:rFonts w:cs="Calibri"/>
                <w:color w:val="000000"/>
                <w:sz w:val="18"/>
                <w:szCs w:val="18"/>
              </w:rPr>
            </w:pPr>
            <w:r w:rsidRPr="00B2324A">
              <w:rPr>
                <w:rFonts w:cs="Calibri"/>
                <w:color w:val="000000"/>
                <w:sz w:val="18"/>
                <w:szCs w:val="18"/>
              </w:rPr>
              <w:t>-437,9</w:t>
            </w:r>
          </w:p>
        </w:tc>
        <w:tc>
          <w:tcPr>
            <w:tcW w:w="1460" w:type="dxa"/>
            <w:tcBorders>
              <w:top w:val="nil"/>
              <w:left w:val="nil"/>
              <w:bottom w:val="nil"/>
              <w:right w:val="single" w:sz="4" w:space="0" w:color="auto"/>
            </w:tcBorders>
            <w:shd w:val="clear" w:color="auto" w:fill="auto"/>
            <w:vAlign w:val="bottom"/>
            <w:hideMark/>
          </w:tcPr>
          <w:p w14:paraId="6671AFA0" w14:textId="77777777" w:rsidR="00ED1FB0" w:rsidRPr="00B2324A" w:rsidRDefault="00ED1FB0" w:rsidP="008171FE">
            <w:pPr>
              <w:jc w:val="right"/>
              <w:rPr>
                <w:rFonts w:cs="Calibri"/>
                <w:color w:val="000000"/>
                <w:sz w:val="18"/>
                <w:szCs w:val="18"/>
              </w:rPr>
            </w:pPr>
            <w:r w:rsidRPr="00B2324A">
              <w:rPr>
                <w:rFonts w:cs="Calibri"/>
                <w:color w:val="000000"/>
                <w:sz w:val="18"/>
                <w:szCs w:val="18"/>
              </w:rPr>
              <w:t>-420,6</w:t>
            </w:r>
          </w:p>
        </w:tc>
        <w:tc>
          <w:tcPr>
            <w:tcW w:w="1440" w:type="dxa"/>
            <w:tcBorders>
              <w:top w:val="nil"/>
              <w:left w:val="nil"/>
              <w:bottom w:val="nil"/>
              <w:right w:val="single" w:sz="4" w:space="0" w:color="auto"/>
            </w:tcBorders>
            <w:shd w:val="clear" w:color="auto" w:fill="auto"/>
            <w:vAlign w:val="bottom"/>
            <w:hideMark/>
          </w:tcPr>
          <w:p w14:paraId="326B7307" w14:textId="77777777" w:rsidR="00ED1FB0" w:rsidRPr="00B2324A" w:rsidRDefault="00ED1FB0" w:rsidP="008171FE">
            <w:pPr>
              <w:jc w:val="right"/>
              <w:rPr>
                <w:rFonts w:cs="Calibri"/>
                <w:color w:val="000000"/>
                <w:sz w:val="18"/>
                <w:szCs w:val="18"/>
              </w:rPr>
            </w:pPr>
            <w:r w:rsidRPr="00B2324A">
              <w:rPr>
                <w:rFonts w:cs="Calibri"/>
                <w:color w:val="000000"/>
                <w:sz w:val="18"/>
                <w:szCs w:val="18"/>
              </w:rPr>
              <w:t>-434,2</w:t>
            </w:r>
          </w:p>
        </w:tc>
      </w:tr>
      <w:tr w:rsidR="00ED1FB0" w14:paraId="16589F3D" w14:textId="77777777" w:rsidTr="008171FE">
        <w:trPr>
          <w:trHeight w:val="290"/>
        </w:trPr>
        <w:tc>
          <w:tcPr>
            <w:tcW w:w="5499" w:type="dxa"/>
            <w:tcBorders>
              <w:top w:val="nil"/>
              <w:left w:val="single" w:sz="4" w:space="0" w:color="auto"/>
              <w:bottom w:val="nil"/>
              <w:right w:val="single" w:sz="4" w:space="0" w:color="auto"/>
            </w:tcBorders>
            <w:shd w:val="clear" w:color="auto" w:fill="auto"/>
            <w:noWrap/>
            <w:vAlign w:val="bottom"/>
            <w:hideMark/>
          </w:tcPr>
          <w:p w14:paraId="36BE5835" w14:textId="77777777" w:rsidR="00ED1FB0" w:rsidRPr="00B2324A" w:rsidRDefault="00ED1FB0" w:rsidP="008171FE">
            <w:pPr>
              <w:rPr>
                <w:rFonts w:cs="Calibri"/>
                <w:color w:val="000000"/>
                <w:sz w:val="18"/>
                <w:szCs w:val="18"/>
              </w:rPr>
            </w:pPr>
            <w:r w:rsidRPr="00B2324A">
              <w:rPr>
                <w:rFonts w:cs="Calibri"/>
                <w:color w:val="000000"/>
                <w:sz w:val="18"/>
                <w:szCs w:val="18"/>
              </w:rPr>
              <w:t>Lokalkostnader</w:t>
            </w:r>
          </w:p>
        </w:tc>
        <w:tc>
          <w:tcPr>
            <w:tcW w:w="1460" w:type="dxa"/>
            <w:tcBorders>
              <w:top w:val="nil"/>
              <w:left w:val="nil"/>
              <w:bottom w:val="nil"/>
              <w:right w:val="single" w:sz="4" w:space="0" w:color="auto"/>
            </w:tcBorders>
            <w:shd w:val="clear" w:color="auto" w:fill="auto"/>
            <w:vAlign w:val="bottom"/>
            <w:hideMark/>
          </w:tcPr>
          <w:p w14:paraId="3F4AA712" w14:textId="77777777" w:rsidR="00ED1FB0" w:rsidRPr="00B2324A" w:rsidRDefault="00ED1FB0" w:rsidP="008171FE">
            <w:pPr>
              <w:jc w:val="right"/>
              <w:rPr>
                <w:rFonts w:cs="Calibri"/>
                <w:color w:val="000000"/>
                <w:sz w:val="18"/>
                <w:szCs w:val="18"/>
              </w:rPr>
            </w:pPr>
            <w:r w:rsidRPr="00B2324A">
              <w:rPr>
                <w:rFonts w:cs="Calibri"/>
                <w:color w:val="000000"/>
                <w:sz w:val="18"/>
                <w:szCs w:val="18"/>
              </w:rPr>
              <w:t>-992,0</w:t>
            </w:r>
          </w:p>
        </w:tc>
        <w:tc>
          <w:tcPr>
            <w:tcW w:w="1460" w:type="dxa"/>
            <w:tcBorders>
              <w:top w:val="nil"/>
              <w:left w:val="nil"/>
              <w:bottom w:val="nil"/>
              <w:right w:val="single" w:sz="4" w:space="0" w:color="auto"/>
            </w:tcBorders>
            <w:shd w:val="clear" w:color="auto" w:fill="auto"/>
            <w:vAlign w:val="bottom"/>
            <w:hideMark/>
          </w:tcPr>
          <w:p w14:paraId="2DF831C3" w14:textId="77777777" w:rsidR="00ED1FB0" w:rsidRPr="00B2324A" w:rsidRDefault="00ED1FB0" w:rsidP="008171FE">
            <w:pPr>
              <w:jc w:val="right"/>
              <w:rPr>
                <w:rFonts w:cs="Calibri"/>
                <w:color w:val="000000"/>
                <w:sz w:val="18"/>
                <w:szCs w:val="18"/>
              </w:rPr>
            </w:pPr>
            <w:r w:rsidRPr="00B2324A">
              <w:rPr>
                <w:rFonts w:cs="Calibri"/>
                <w:color w:val="000000"/>
                <w:sz w:val="18"/>
                <w:szCs w:val="18"/>
              </w:rPr>
              <w:t>-963,4</w:t>
            </w:r>
          </w:p>
        </w:tc>
        <w:tc>
          <w:tcPr>
            <w:tcW w:w="1440" w:type="dxa"/>
            <w:tcBorders>
              <w:top w:val="nil"/>
              <w:left w:val="nil"/>
              <w:bottom w:val="nil"/>
              <w:right w:val="single" w:sz="4" w:space="0" w:color="auto"/>
            </w:tcBorders>
            <w:shd w:val="clear" w:color="auto" w:fill="auto"/>
            <w:vAlign w:val="bottom"/>
            <w:hideMark/>
          </w:tcPr>
          <w:p w14:paraId="2599BF9D" w14:textId="77777777" w:rsidR="00ED1FB0" w:rsidRPr="00B2324A" w:rsidRDefault="00ED1FB0" w:rsidP="008171FE">
            <w:pPr>
              <w:jc w:val="right"/>
              <w:rPr>
                <w:rFonts w:cs="Calibri"/>
                <w:color w:val="000000"/>
                <w:sz w:val="18"/>
                <w:szCs w:val="18"/>
              </w:rPr>
            </w:pPr>
            <w:r w:rsidRPr="00B2324A">
              <w:rPr>
                <w:rFonts w:cs="Calibri"/>
                <w:color w:val="000000"/>
                <w:sz w:val="18"/>
                <w:szCs w:val="18"/>
              </w:rPr>
              <w:t>-1 005,9</w:t>
            </w:r>
          </w:p>
        </w:tc>
      </w:tr>
      <w:tr w:rsidR="00ED1FB0" w14:paraId="744BFE21" w14:textId="77777777" w:rsidTr="008171FE">
        <w:trPr>
          <w:trHeight w:val="290"/>
        </w:trPr>
        <w:tc>
          <w:tcPr>
            <w:tcW w:w="5499" w:type="dxa"/>
            <w:tcBorders>
              <w:top w:val="nil"/>
              <w:left w:val="single" w:sz="4" w:space="0" w:color="auto"/>
              <w:bottom w:val="nil"/>
              <w:right w:val="single" w:sz="4" w:space="0" w:color="auto"/>
            </w:tcBorders>
            <w:shd w:val="clear" w:color="auto" w:fill="auto"/>
            <w:noWrap/>
            <w:vAlign w:val="bottom"/>
            <w:hideMark/>
          </w:tcPr>
          <w:p w14:paraId="60E19949" w14:textId="77777777" w:rsidR="00ED1FB0" w:rsidRPr="00B2324A" w:rsidRDefault="00ED1FB0" w:rsidP="008171FE">
            <w:pPr>
              <w:rPr>
                <w:rFonts w:cs="Calibri"/>
                <w:color w:val="000000"/>
                <w:sz w:val="18"/>
                <w:szCs w:val="18"/>
              </w:rPr>
            </w:pPr>
            <w:r w:rsidRPr="00B2324A">
              <w:rPr>
                <w:rFonts w:cs="Calibri"/>
                <w:color w:val="000000"/>
                <w:sz w:val="18"/>
                <w:szCs w:val="18"/>
              </w:rPr>
              <w:t>Övriga fastighetskostnader</w:t>
            </w:r>
          </w:p>
        </w:tc>
        <w:tc>
          <w:tcPr>
            <w:tcW w:w="1460" w:type="dxa"/>
            <w:tcBorders>
              <w:top w:val="nil"/>
              <w:left w:val="nil"/>
              <w:bottom w:val="nil"/>
              <w:right w:val="single" w:sz="4" w:space="0" w:color="auto"/>
            </w:tcBorders>
            <w:shd w:val="clear" w:color="auto" w:fill="auto"/>
            <w:vAlign w:val="bottom"/>
            <w:hideMark/>
          </w:tcPr>
          <w:p w14:paraId="49C27337" w14:textId="77777777" w:rsidR="00ED1FB0" w:rsidRPr="00B2324A" w:rsidRDefault="00ED1FB0" w:rsidP="008171FE">
            <w:pPr>
              <w:jc w:val="right"/>
              <w:rPr>
                <w:rFonts w:cs="Calibri"/>
                <w:color w:val="000000"/>
                <w:sz w:val="18"/>
                <w:szCs w:val="18"/>
              </w:rPr>
            </w:pPr>
            <w:r w:rsidRPr="00B2324A">
              <w:rPr>
                <w:rFonts w:cs="Calibri"/>
                <w:color w:val="000000"/>
                <w:sz w:val="18"/>
                <w:szCs w:val="18"/>
              </w:rPr>
              <w:t>-574,3</w:t>
            </w:r>
          </w:p>
        </w:tc>
        <w:tc>
          <w:tcPr>
            <w:tcW w:w="1460" w:type="dxa"/>
            <w:tcBorders>
              <w:top w:val="nil"/>
              <w:left w:val="nil"/>
              <w:bottom w:val="nil"/>
              <w:right w:val="single" w:sz="4" w:space="0" w:color="auto"/>
            </w:tcBorders>
            <w:shd w:val="clear" w:color="auto" w:fill="auto"/>
            <w:vAlign w:val="bottom"/>
            <w:hideMark/>
          </w:tcPr>
          <w:p w14:paraId="43CADBD3" w14:textId="77777777" w:rsidR="00ED1FB0" w:rsidRPr="00B2324A" w:rsidRDefault="00ED1FB0" w:rsidP="008171FE">
            <w:pPr>
              <w:jc w:val="right"/>
              <w:rPr>
                <w:rFonts w:cs="Calibri"/>
                <w:color w:val="000000"/>
                <w:sz w:val="18"/>
                <w:szCs w:val="18"/>
              </w:rPr>
            </w:pPr>
            <w:r w:rsidRPr="00B2324A">
              <w:rPr>
                <w:rFonts w:cs="Calibri"/>
                <w:color w:val="000000"/>
                <w:sz w:val="18"/>
                <w:szCs w:val="18"/>
              </w:rPr>
              <w:t>-630,8</w:t>
            </w:r>
          </w:p>
        </w:tc>
        <w:tc>
          <w:tcPr>
            <w:tcW w:w="1440" w:type="dxa"/>
            <w:tcBorders>
              <w:top w:val="nil"/>
              <w:left w:val="nil"/>
              <w:bottom w:val="nil"/>
              <w:right w:val="single" w:sz="4" w:space="0" w:color="auto"/>
            </w:tcBorders>
            <w:shd w:val="clear" w:color="auto" w:fill="auto"/>
            <w:vAlign w:val="bottom"/>
            <w:hideMark/>
          </w:tcPr>
          <w:p w14:paraId="585FF522" w14:textId="77777777" w:rsidR="00ED1FB0" w:rsidRPr="00B2324A" w:rsidRDefault="00ED1FB0" w:rsidP="008171FE">
            <w:pPr>
              <w:jc w:val="right"/>
              <w:rPr>
                <w:rFonts w:cs="Calibri"/>
                <w:color w:val="000000"/>
                <w:sz w:val="18"/>
                <w:szCs w:val="18"/>
              </w:rPr>
            </w:pPr>
            <w:r w:rsidRPr="00B2324A">
              <w:rPr>
                <w:rFonts w:cs="Calibri"/>
                <w:color w:val="000000"/>
                <w:sz w:val="18"/>
                <w:szCs w:val="18"/>
              </w:rPr>
              <w:t>-732,0</w:t>
            </w:r>
          </w:p>
        </w:tc>
      </w:tr>
      <w:tr w:rsidR="00ED1FB0" w14:paraId="54E454B6" w14:textId="77777777" w:rsidTr="008171FE">
        <w:trPr>
          <w:trHeight w:val="290"/>
        </w:trPr>
        <w:tc>
          <w:tcPr>
            <w:tcW w:w="5499" w:type="dxa"/>
            <w:tcBorders>
              <w:top w:val="nil"/>
              <w:left w:val="single" w:sz="4" w:space="0" w:color="auto"/>
              <w:bottom w:val="nil"/>
              <w:right w:val="single" w:sz="4" w:space="0" w:color="auto"/>
            </w:tcBorders>
            <w:shd w:val="clear" w:color="auto" w:fill="auto"/>
            <w:noWrap/>
            <w:vAlign w:val="bottom"/>
            <w:hideMark/>
          </w:tcPr>
          <w:p w14:paraId="22611D98" w14:textId="77777777" w:rsidR="00ED1FB0" w:rsidRPr="00B2324A" w:rsidRDefault="00ED1FB0" w:rsidP="008171FE">
            <w:pPr>
              <w:rPr>
                <w:rFonts w:cs="Calibri"/>
                <w:color w:val="000000"/>
                <w:sz w:val="18"/>
                <w:szCs w:val="18"/>
              </w:rPr>
            </w:pPr>
            <w:r w:rsidRPr="00B2324A">
              <w:rPr>
                <w:rFonts w:cs="Calibri"/>
                <w:color w:val="000000"/>
                <w:sz w:val="18"/>
                <w:szCs w:val="18"/>
              </w:rPr>
              <w:t>Köp av verksamhet, material och tjänster</w:t>
            </w:r>
          </w:p>
        </w:tc>
        <w:tc>
          <w:tcPr>
            <w:tcW w:w="1460" w:type="dxa"/>
            <w:tcBorders>
              <w:top w:val="nil"/>
              <w:left w:val="nil"/>
              <w:bottom w:val="nil"/>
              <w:right w:val="single" w:sz="4" w:space="0" w:color="auto"/>
            </w:tcBorders>
            <w:shd w:val="clear" w:color="auto" w:fill="auto"/>
            <w:vAlign w:val="bottom"/>
            <w:hideMark/>
          </w:tcPr>
          <w:p w14:paraId="02B90F63" w14:textId="77777777" w:rsidR="00ED1FB0" w:rsidRPr="00B2324A" w:rsidRDefault="00ED1FB0" w:rsidP="008171FE">
            <w:pPr>
              <w:jc w:val="right"/>
              <w:rPr>
                <w:rFonts w:cs="Calibri"/>
                <w:color w:val="000000"/>
                <w:sz w:val="18"/>
                <w:szCs w:val="18"/>
              </w:rPr>
            </w:pPr>
            <w:r w:rsidRPr="00B2324A">
              <w:rPr>
                <w:rFonts w:cs="Calibri"/>
                <w:color w:val="000000"/>
                <w:sz w:val="18"/>
                <w:szCs w:val="18"/>
              </w:rPr>
              <w:t>-5,6</w:t>
            </w:r>
          </w:p>
        </w:tc>
        <w:tc>
          <w:tcPr>
            <w:tcW w:w="1460" w:type="dxa"/>
            <w:tcBorders>
              <w:top w:val="nil"/>
              <w:left w:val="nil"/>
              <w:bottom w:val="nil"/>
              <w:right w:val="single" w:sz="4" w:space="0" w:color="auto"/>
            </w:tcBorders>
            <w:shd w:val="clear" w:color="auto" w:fill="auto"/>
            <w:vAlign w:val="bottom"/>
            <w:hideMark/>
          </w:tcPr>
          <w:p w14:paraId="1090012A" w14:textId="77777777" w:rsidR="00ED1FB0" w:rsidRPr="00B2324A" w:rsidRDefault="00ED1FB0" w:rsidP="008171FE">
            <w:pPr>
              <w:jc w:val="right"/>
              <w:rPr>
                <w:rFonts w:cs="Calibri"/>
                <w:color w:val="000000"/>
                <w:sz w:val="18"/>
                <w:szCs w:val="18"/>
              </w:rPr>
            </w:pPr>
            <w:r w:rsidRPr="00B2324A">
              <w:rPr>
                <w:rFonts w:cs="Calibri"/>
                <w:color w:val="000000"/>
                <w:sz w:val="18"/>
                <w:szCs w:val="18"/>
              </w:rPr>
              <w:t>-4,7</w:t>
            </w:r>
          </w:p>
        </w:tc>
        <w:tc>
          <w:tcPr>
            <w:tcW w:w="1440" w:type="dxa"/>
            <w:tcBorders>
              <w:top w:val="nil"/>
              <w:left w:val="nil"/>
              <w:bottom w:val="nil"/>
              <w:right w:val="single" w:sz="4" w:space="0" w:color="auto"/>
            </w:tcBorders>
            <w:shd w:val="clear" w:color="auto" w:fill="auto"/>
            <w:vAlign w:val="bottom"/>
            <w:hideMark/>
          </w:tcPr>
          <w:p w14:paraId="7F896493" w14:textId="77777777" w:rsidR="00ED1FB0" w:rsidRPr="00B2324A" w:rsidRDefault="00ED1FB0" w:rsidP="008171FE">
            <w:pPr>
              <w:jc w:val="right"/>
              <w:rPr>
                <w:rFonts w:cs="Calibri"/>
                <w:color w:val="000000"/>
                <w:sz w:val="18"/>
                <w:szCs w:val="18"/>
              </w:rPr>
            </w:pPr>
            <w:r w:rsidRPr="00B2324A">
              <w:rPr>
                <w:rFonts w:cs="Calibri"/>
                <w:color w:val="000000"/>
                <w:sz w:val="18"/>
                <w:szCs w:val="18"/>
              </w:rPr>
              <w:t>-6,0</w:t>
            </w:r>
          </w:p>
        </w:tc>
      </w:tr>
      <w:tr w:rsidR="00ED1FB0" w14:paraId="4845637A" w14:textId="77777777" w:rsidTr="008171FE">
        <w:trPr>
          <w:trHeight w:val="290"/>
        </w:trPr>
        <w:tc>
          <w:tcPr>
            <w:tcW w:w="5499" w:type="dxa"/>
            <w:tcBorders>
              <w:top w:val="nil"/>
              <w:left w:val="single" w:sz="4" w:space="0" w:color="auto"/>
              <w:bottom w:val="nil"/>
              <w:right w:val="single" w:sz="4" w:space="0" w:color="auto"/>
            </w:tcBorders>
            <w:shd w:val="clear" w:color="auto" w:fill="auto"/>
            <w:noWrap/>
            <w:vAlign w:val="bottom"/>
            <w:hideMark/>
          </w:tcPr>
          <w:p w14:paraId="5692A6F4" w14:textId="77777777" w:rsidR="00ED1FB0" w:rsidRPr="00B2324A" w:rsidRDefault="00ED1FB0" w:rsidP="008171FE">
            <w:pPr>
              <w:rPr>
                <w:rFonts w:cs="Calibri"/>
                <w:color w:val="000000"/>
                <w:sz w:val="18"/>
                <w:szCs w:val="18"/>
              </w:rPr>
            </w:pPr>
            <w:r w:rsidRPr="00B2324A">
              <w:rPr>
                <w:rFonts w:cs="Calibri"/>
                <w:color w:val="000000"/>
                <w:sz w:val="18"/>
                <w:szCs w:val="18"/>
              </w:rPr>
              <w:t>Övriga kostnader och bidrag</w:t>
            </w:r>
          </w:p>
        </w:tc>
        <w:tc>
          <w:tcPr>
            <w:tcW w:w="1460" w:type="dxa"/>
            <w:tcBorders>
              <w:top w:val="nil"/>
              <w:left w:val="nil"/>
              <w:bottom w:val="nil"/>
              <w:right w:val="single" w:sz="4" w:space="0" w:color="auto"/>
            </w:tcBorders>
            <w:shd w:val="clear" w:color="auto" w:fill="auto"/>
            <w:vAlign w:val="bottom"/>
            <w:hideMark/>
          </w:tcPr>
          <w:p w14:paraId="531BBA80" w14:textId="77777777" w:rsidR="00ED1FB0" w:rsidRPr="00B2324A" w:rsidRDefault="00ED1FB0" w:rsidP="008171FE">
            <w:pPr>
              <w:jc w:val="right"/>
              <w:rPr>
                <w:rFonts w:cs="Calibri"/>
                <w:color w:val="000000"/>
                <w:sz w:val="18"/>
                <w:szCs w:val="18"/>
              </w:rPr>
            </w:pPr>
            <w:r w:rsidRPr="00B2324A">
              <w:rPr>
                <w:rFonts w:cs="Calibri"/>
                <w:color w:val="000000"/>
                <w:sz w:val="18"/>
                <w:szCs w:val="18"/>
              </w:rPr>
              <w:t>-193,1</w:t>
            </w:r>
          </w:p>
        </w:tc>
        <w:tc>
          <w:tcPr>
            <w:tcW w:w="1460" w:type="dxa"/>
            <w:tcBorders>
              <w:top w:val="nil"/>
              <w:left w:val="nil"/>
              <w:bottom w:val="nil"/>
              <w:right w:val="single" w:sz="4" w:space="0" w:color="auto"/>
            </w:tcBorders>
            <w:shd w:val="clear" w:color="auto" w:fill="auto"/>
            <w:vAlign w:val="bottom"/>
            <w:hideMark/>
          </w:tcPr>
          <w:p w14:paraId="69CEB4DD" w14:textId="77777777" w:rsidR="00ED1FB0" w:rsidRPr="00B2324A" w:rsidRDefault="00ED1FB0" w:rsidP="008171FE">
            <w:pPr>
              <w:jc w:val="right"/>
              <w:rPr>
                <w:rFonts w:cs="Calibri"/>
                <w:color w:val="000000"/>
                <w:sz w:val="18"/>
                <w:szCs w:val="18"/>
              </w:rPr>
            </w:pPr>
            <w:r w:rsidRPr="00B2324A">
              <w:rPr>
                <w:rFonts w:cs="Calibri"/>
                <w:color w:val="000000"/>
                <w:sz w:val="18"/>
                <w:szCs w:val="18"/>
              </w:rPr>
              <w:t>-188,5</w:t>
            </w:r>
          </w:p>
        </w:tc>
        <w:tc>
          <w:tcPr>
            <w:tcW w:w="1440" w:type="dxa"/>
            <w:tcBorders>
              <w:top w:val="nil"/>
              <w:left w:val="nil"/>
              <w:bottom w:val="nil"/>
              <w:right w:val="single" w:sz="4" w:space="0" w:color="auto"/>
            </w:tcBorders>
            <w:shd w:val="clear" w:color="auto" w:fill="auto"/>
            <w:vAlign w:val="bottom"/>
            <w:hideMark/>
          </w:tcPr>
          <w:p w14:paraId="39FD5F7F" w14:textId="77777777" w:rsidR="00ED1FB0" w:rsidRPr="00B2324A" w:rsidRDefault="00ED1FB0" w:rsidP="008171FE">
            <w:pPr>
              <w:jc w:val="right"/>
              <w:rPr>
                <w:rFonts w:cs="Calibri"/>
                <w:color w:val="000000"/>
                <w:sz w:val="18"/>
                <w:szCs w:val="18"/>
              </w:rPr>
            </w:pPr>
            <w:r w:rsidRPr="00B2324A">
              <w:rPr>
                <w:rFonts w:cs="Calibri"/>
                <w:color w:val="000000"/>
                <w:sz w:val="18"/>
                <w:szCs w:val="18"/>
              </w:rPr>
              <w:t>-160,9</w:t>
            </w:r>
          </w:p>
        </w:tc>
      </w:tr>
      <w:tr w:rsidR="00ED1FB0" w14:paraId="2FB0CE53" w14:textId="77777777" w:rsidTr="008171FE">
        <w:trPr>
          <w:trHeight w:val="290"/>
        </w:trPr>
        <w:tc>
          <w:tcPr>
            <w:tcW w:w="54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061F15" w14:textId="77777777" w:rsidR="00ED1FB0" w:rsidRPr="00B2324A" w:rsidRDefault="00ED1FB0" w:rsidP="008171FE">
            <w:pPr>
              <w:rPr>
                <w:rFonts w:cs="Calibri"/>
                <w:b/>
                <w:bCs/>
                <w:color w:val="000000"/>
                <w:sz w:val="18"/>
                <w:szCs w:val="18"/>
              </w:rPr>
            </w:pPr>
            <w:r w:rsidRPr="00B2324A">
              <w:rPr>
                <w:rFonts w:cs="Calibri"/>
                <w:b/>
                <w:bCs/>
                <w:color w:val="000000"/>
                <w:sz w:val="18"/>
                <w:szCs w:val="18"/>
              </w:rPr>
              <w:t>Verksamhetens kostnader</w:t>
            </w:r>
          </w:p>
        </w:tc>
        <w:tc>
          <w:tcPr>
            <w:tcW w:w="14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6AE32159" w14:textId="77777777" w:rsidR="00ED1FB0" w:rsidRPr="00B2324A" w:rsidRDefault="00ED1FB0" w:rsidP="008171FE">
            <w:pPr>
              <w:jc w:val="right"/>
              <w:rPr>
                <w:rFonts w:cs="Calibri"/>
                <w:b/>
                <w:bCs/>
                <w:color w:val="000000"/>
                <w:sz w:val="18"/>
                <w:szCs w:val="18"/>
              </w:rPr>
            </w:pPr>
            <w:r w:rsidRPr="00B2324A">
              <w:rPr>
                <w:rFonts w:cs="Calibri"/>
                <w:b/>
                <w:bCs/>
                <w:color w:val="000000"/>
                <w:sz w:val="18"/>
                <w:szCs w:val="18"/>
              </w:rPr>
              <w:t>-2650,6</w:t>
            </w:r>
          </w:p>
        </w:tc>
        <w:tc>
          <w:tcPr>
            <w:tcW w:w="14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2683406E" w14:textId="77777777" w:rsidR="00ED1FB0" w:rsidRPr="00B2324A" w:rsidRDefault="00ED1FB0" w:rsidP="008171FE">
            <w:pPr>
              <w:jc w:val="right"/>
              <w:rPr>
                <w:rFonts w:cs="Calibri"/>
                <w:b/>
                <w:bCs/>
                <w:color w:val="000000"/>
                <w:sz w:val="18"/>
                <w:szCs w:val="18"/>
              </w:rPr>
            </w:pPr>
            <w:r w:rsidRPr="00B2324A">
              <w:rPr>
                <w:rFonts w:cs="Calibri"/>
                <w:b/>
                <w:bCs/>
                <w:color w:val="000000"/>
                <w:sz w:val="18"/>
                <w:szCs w:val="18"/>
              </w:rPr>
              <w:t>-2615,0</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144B816C" w14:textId="77777777" w:rsidR="00ED1FB0" w:rsidRPr="00B2324A" w:rsidRDefault="00ED1FB0" w:rsidP="008171FE">
            <w:pPr>
              <w:jc w:val="right"/>
              <w:rPr>
                <w:rFonts w:cs="Calibri"/>
                <w:b/>
                <w:bCs/>
                <w:color w:val="000000"/>
                <w:sz w:val="18"/>
                <w:szCs w:val="18"/>
              </w:rPr>
            </w:pPr>
            <w:r w:rsidRPr="00B2324A">
              <w:rPr>
                <w:rFonts w:cs="Calibri"/>
                <w:b/>
                <w:bCs/>
                <w:color w:val="000000"/>
                <w:sz w:val="18"/>
                <w:szCs w:val="18"/>
              </w:rPr>
              <w:t>-2808,6</w:t>
            </w:r>
          </w:p>
        </w:tc>
      </w:tr>
      <w:tr w:rsidR="00ED1FB0" w14:paraId="7A600F40" w14:textId="77777777" w:rsidTr="008171FE">
        <w:trPr>
          <w:trHeight w:val="290"/>
        </w:trPr>
        <w:tc>
          <w:tcPr>
            <w:tcW w:w="5499" w:type="dxa"/>
            <w:tcBorders>
              <w:top w:val="nil"/>
              <w:left w:val="single" w:sz="4" w:space="0" w:color="auto"/>
              <w:bottom w:val="nil"/>
              <w:right w:val="single" w:sz="4" w:space="0" w:color="auto"/>
            </w:tcBorders>
            <w:shd w:val="clear" w:color="auto" w:fill="auto"/>
            <w:vAlign w:val="bottom"/>
            <w:hideMark/>
          </w:tcPr>
          <w:p w14:paraId="2CE80192" w14:textId="77777777" w:rsidR="00ED1FB0" w:rsidRPr="00B2324A" w:rsidRDefault="00ED1FB0" w:rsidP="008171FE">
            <w:pPr>
              <w:rPr>
                <w:rFonts w:cs="Calibri"/>
                <w:color w:val="000000"/>
                <w:sz w:val="18"/>
                <w:szCs w:val="18"/>
              </w:rPr>
            </w:pPr>
            <w:r w:rsidRPr="00B2324A">
              <w:rPr>
                <w:rFonts w:cs="Calibri"/>
                <w:color w:val="000000"/>
                <w:sz w:val="18"/>
                <w:szCs w:val="18"/>
              </w:rPr>
              <w:t>Kapitalkostnad</w:t>
            </w:r>
          </w:p>
        </w:tc>
        <w:tc>
          <w:tcPr>
            <w:tcW w:w="1460" w:type="dxa"/>
            <w:tcBorders>
              <w:top w:val="nil"/>
              <w:left w:val="nil"/>
              <w:bottom w:val="nil"/>
              <w:right w:val="single" w:sz="4" w:space="0" w:color="auto"/>
            </w:tcBorders>
            <w:shd w:val="clear" w:color="auto" w:fill="auto"/>
            <w:vAlign w:val="bottom"/>
            <w:hideMark/>
          </w:tcPr>
          <w:p w14:paraId="5B911973" w14:textId="77777777" w:rsidR="00ED1FB0" w:rsidRPr="00B2324A" w:rsidRDefault="00ED1FB0" w:rsidP="008171FE">
            <w:pPr>
              <w:jc w:val="right"/>
              <w:rPr>
                <w:rFonts w:cs="Calibri"/>
                <w:color w:val="000000"/>
                <w:sz w:val="18"/>
                <w:szCs w:val="18"/>
              </w:rPr>
            </w:pPr>
            <w:r w:rsidRPr="00B2324A">
              <w:rPr>
                <w:rFonts w:cs="Calibri"/>
                <w:color w:val="000000"/>
                <w:sz w:val="18"/>
                <w:szCs w:val="18"/>
              </w:rPr>
              <w:t>-1 217,2</w:t>
            </w:r>
          </w:p>
        </w:tc>
        <w:tc>
          <w:tcPr>
            <w:tcW w:w="1460" w:type="dxa"/>
            <w:tcBorders>
              <w:top w:val="nil"/>
              <w:left w:val="nil"/>
              <w:bottom w:val="nil"/>
              <w:right w:val="single" w:sz="4" w:space="0" w:color="auto"/>
            </w:tcBorders>
            <w:shd w:val="clear" w:color="auto" w:fill="auto"/>
            <w:vAlign w:val="bottom"/>
            <w:hideMark/>
          </w:tcPr>
          <w:p w14:paraId="688A41B1" w14:textId="77777777" w:rsidR="00ED1FB0" w:rsidRPr="00B2324A" w:rsidRDefault="00ED1FB0" w:rsidP="008171FE">
            <w:pPr>
              <w:jc w:val="right"/>
              <w:rPr>
                <w:rFonts w:cs="Calibri"/>
                <w:color w:val="000000"/>
                <w:sz w:val="18"/>
                <w:szCs w:val="18"/>
              </w:rPr>
            </w:pPr>
            <w:r w:rsidRPr="00B2324A">
              <w:rPr>
                <w:rFonts w:cs="Calibri"/>
                <w:color w:val="000000"/>
                <w:sz w:val="18"/>
                <w:szCs w:val="18"/>
              </w:rPr>
              <w:t>-1 171,8</w:t>
            </w:r>
          </w:p>
        </w:tc>
        <w:tc>
          <w:tcPr>
            <w:tcW w:w="1440" w:type="dxa"/>
            <w:tcBorders>
              <w:top w:val="nil"/>
              <w:left w:val="nil"/>
              <w:bottom w:val="nil"/>
              <w:right w:val="single" w:sz="4" w:space="0" w:color="auto"/>
            </w:tcBorders>
            <w:shd w:val="clear" w:color="auto" w:fill="auto"/>
            <w:vAlign w:val="bottom"/>
            <w:hideMark/>
          </w:tcPr>
          <w:p w14:paraId="1B07193E" w14:textId="77777777" w:rsidR="00ED1FB0" w:rsidRPr="00B2324A" w:rsidRDefault="00ED1FB0" w:rsidP="008171FE">
            <w:pPr>
              <w:jc w:val="right"/>
              <w:rPr>
                <w:rFonts w:cs="Calibri"/>
                <w:color w:val="000000"/>
                <w:sz w:val="18"/>
                <w:szCs w:val="18"/>
              </w:rPr>
            </w:pPr>
            <w:r w:rsidRPr="00B2324A">
              <w:rPr>
                <w:rFonts w:cs="Calibri"/>
                <w:color w:val="000000"/>
                <w:sz w:val="18"/>
                <w:szCs w:val="18"/>
              </w:rPr>
              <w:t>-1 428,4</w:t>
            </w:r>
          </w:p>
        </w:tc>
      </w:tr>
      <w:tr w:rsidR="00ED1FB0" w14:paraId="7C4E3A6C" w14:textId="77777777" w:rsidTr="008171FE">
        <w:trPr>
          <w:trHeight w:val="290"/>
        </w:trPr>
        <w:tc>
          <w:tcPr>
            <w:tcW w:w="5499" w:type="dxa"/>
            <w:tcBorders>
              <w:top w:val="nil"/>
              <w:left w:val="single" w:sz="4" w:space="0" w:color="auto"/>
              <w:bottom w:val="single" w:sz="4" w:space="0" w:color="auto"/>
              <w:right w:val="single" w:sz="4" w:space="0" w:color="auto"/>
            </w:tcBorders>
            <w:shd w:val="clear" w:color="auto" w:fill="F2F2F2" w:themeFill="background1" w:themeFillShade="F2"/>
            <w:hideMark/>
          </w:tcPr>
          <w:p w14:paraId="5235FF23" w14:textId="77777777" w:rsidR="00ED1FB0" w:rsidRPr="00B2324A" w:rsidRDefault="00ED1FB0" w:rsidP="008171FE">
            <w:pPr>
              <w:rPr>
                <w:rFonts w:cs="Calibri"/>
                <w:b/>
                <w:bCs/>
                <w:color w:val="000000"/>
                <w:sz w:val="18"/>
                <w:szCs w:val="18"/>
              </w:rPr>
            </w:pPr>
            <w:r w:rsidRPr="00B2324A">
              <w:rPr>
                <w:rFonts w:cs="Calibri"/>
                <w:b/>
                <w:bCs/>
                <w:color w:val="000000"/>
                <w:sz w:val="18"/>
                <w:szCs w:val="18"/>
              </w:rPr>
              <w:t>RESULTAT</w:t>
            </w:r>
          </w:p>
        </w:tc>
        <w:tc>
          <w:tcPr>
            <w:tcW w:w="1460" w:type="dxa"/>
            <w:tcBorders>
              <w:top w:val="nil"/>
              <w:left w:val="nil"/>
              <w:bottom w:val="single" w:sz="4" w:space="0" w:color="auto"/>
              <w:right w:val="single" w:sz="4" w:space="0" w:color="auto"/>
            </w:tcBorders>
            <w:shd w:val="clear" w:color="auto" w:fill="F2F2F2" w:themeFill="background1" w:themeFillShade="F2"/>
            <w:vAlign w:val="bottom"/>
            <w:hideMark/>
          </w:tcPr>
          <w:p w14:paraId="7C89C956" w14:textId="77777777" w:rsidR="00ED1FB0" w:rsidRPr="00B2324A" w:rsidRDefault="00ED1FB0" w:rsidP="008171FE">
            <w:pPr>
              <w:jc w:val="right"/>
              <w:rPr>
                <w:rFonts w:cs="Calibri"/>
                <w:b/>
                <w:bCs/>
                <w:color w:val="000000"/>
                <w:sz w:val="18"/>
                <w:szCs w:val="18"/>
              </w:rPr>
            </w:pPr>
            <w:r w:rsidRPr="00B2324A">
              <w:rPr>
                <w:rFonts w:cs="Calibri"/>
                <w:b/>
                <w:bCs/>
                <w:color w:val="000000"/>
                <w:sz w:val="18"/>
                <w:szCs w:val="18"/>
              </w:rPr>
              <w:t>0,0</w:t>
            </w:r>
          </w:p>
        </w:tc>
        <w:tc>
          <w:tcPr>
            <w:tcW w:w="1460" w:type="dxa"/>
            <w:tcBorders>
              <w:top w:val="nil"/>
              <w:left w:val="nil"/>
              <w:bottom w:val="single" w:sz="4" w:space="0" w:color="auto"/>
              <w:right w:val="single" w:sz="4" w:space="0" w:color="auto"/>
            </w:tcBorders>
            <w:shd w:val="clear" w:color="auto" w:fill="F2F2F2" w:themeFill="background1" w:themeFillShade="F2"/>
            <w:vAlign w:val="bottom"/>
            <w:hideMark/>
          </w:tcPr>
          <w:p w14:paraId="4CFDF076" w14:textId="77777777" w:rsidR="00ED1FB0" w:rsidRPr="00B2324A" w:rsidRDefault="00ED1FB0" w:rsidP="008171FE">
            <w:pPr>
              <w:jc w:val="right"/>
              <w:rPr>
                <w:rFonts w:cs="Calibri"/>
                <w:b/>
                <w:bCs/>
                <w:sz w:val="18"/>
                <w:szCs w:val="18"/>
              </w:rPr>
            </w:pPr>
            <w:r w:rsidRPr="00B2324A">
              <w:rPr>
                <w:rFonts w:cs="Calibri"/>
                <w:b/>
                <w:bCs/>
                <w:sz w:val="18"/>
                <w:szCs w:val="18"/>
              </w:rPr>
              <w:t>50,0</w:t>
            </w:r>
          </w:p>
        </w:tc>
        <w:tc>
          <w:tcPr>
            <w:tcW w:w="1440" w:type="dxa"/>
            <w:tcBorders>
              <w:top w:val="nil"/>
              <w:left w:val="nil"/>
              <w:bottom w:val="single" w:sz="4" w:space="0" w:color="auto"/>
              <w:right w:val="single" w:sz="4" w:space="0" w:color="auto"/>
            </w:tcBorders>
            <w:shd w:val="clear" w:color="auto" w:fill="F2F2F2" w:themeFill="background1" w:themeFillShade="F2"/>
            <w:vAlign w:val="bottom"/>
            <w:hideMark/>
          </w:tcPr>
          <w:p w14:paraId="44FEC166" w14:textId="77777777" w:rsidR="00ED1FB0" w:rsidRPr="00B2324A" w:rsidRDefault="00ED1FB0" w:rsidP="008171FE">
            <w:pPr>
              <w:jc w:val="right"/>
              <w:rPr>
                <w:rFonts w:cs="Calibri"/>
                <w:b/>
                <w:bCs/>
                <w:color w:val="000000"/>
                <w:sz w:val="18"/>
                <w:szCs w:val="18"/>
              </w:rPr>
            </w:pPr>
            <w:r w:rsidRPr="00B2324A">
              <w:rPr>
                <w:rFonts w:cs="Calibri"/>
                <w:b/>
                <w:bCs/>
                <w:color w:val="000000"/>
                <w:sz w:val="18"/>
                <w:szCs w:val="18"/>
              </w:rPr>
              <w:t>0,0</w:t>
            </w:r>
          </w:p>
        </w:tc>
      </w:tr>
    </w:tbl>
    <w:p w14:paraId="60242F4D" w14:textId="77777777" w:rsidR="00ED1FB0" w:rsidRDefault="00ED1FB0" w:rsidP="00ED1FB0">
      <w:pPr>
        <w:spacing w:after="240"/>
        <w:rPr>
          <w:szCs w:val="22"/>
        </w:rPr>
      </w:pPr>
    </w:p>
    <w:tbl>
      <w:tblPr>
        <w:tblW w:w="9803" w:type="dxa"/>
        <w:tblInd w:w="-1134" w:type="dxa"/>
        <w:tblCellMar>
          <w:left w:w="70" w:type="dxa"/>
          <w:right w:w="70" w:type="dxa"/>
        </w:tblCellMar>
        <w:tblLook w:val="04A0" w:firstRow="1" w:lastRow="0" w:firstColumn="1" w:lastColumn="0" w:noHBand="0" w:noVBand="1"/>
      </w:tblPr>
      <w:tblGrid>
        <w:gridCol w:w="5443"/>
        <w:gridCol w:w="1460"/>
        <w:gridCol w:w="1460"/>
        <w:gridCol w:w="1440"/>
      </w:tblGrid>
      <w:tr w:rsidR="00ED1FB0" w14:paraId="7F1061B3" w14:textId="77777777" w:rsidTr="008171FE">
        <w:trPr>
          <w:trHeight w:val="350"/>
        </w:trPr>
        <w:tc>
          <w:tcPr>
            <w:tcW w:w="5443" w:type="dxa"/>
            <w:tcBorders>
              <w:top w:val="nil"/>
              <w:left w:val="nil"/>
              <w:bottom w:val="nil"/>
              <w:right w:val="nil"/>
            </w:tcBorders>
            <w:shd w:val="clear" w:color="auto" w:fill="FF9900"/>
            <w:noWrap/>
            <w:vAlign w:val="bottom"/>
            <w:hideMark/>
          </w:tcPr>
          <w:p w14:paraId="673796BB" w14:textId="77777777" w:rsidR="00ED1FB0" w:rsidRPr="00B2324A" w:rsidRDefault="00ED1FB0" w:rsidP="008171FE">
            <w:pPr>
              <w:rPr>
                <w:rFonts w:cs="Arial"/>
                <w:b/>
                <w:bCs/>
                <w:i/>
                <w:iCs/>
                <w:color w:val="FFFFFF"/>
                <w:sz w:val="18"/>
                <w:szCs w:val="18"/>
              </w:rPr>
            </w:pPr>
            <w:r w:rsidRPr="00B2324A">
              <w:rPr>
                <w:rFonts w:cs="Arial"/>
                <w:b/>
                <w:bCs/>
                <w:i/>
                <w:iCs/>
                <w:color w:val="FFFFFF"/>
                <w:sz w:val="18"/>
                <w:szCs w:val="18"/>
              </w:rPr>
              <w:t>Resultatbudget år 2025</w:t>
            </w:r>
          </w:p>
        </w:tc>
        <w:tc>
          <w:tcPr>
            <w:tcW w:w="1460" w:type="dxa"/>
            <w:tcBorders>
              <w:top w:val="nil"/>
              <w:left w:val="nil"/>
              <w:bottom w:val="nil"/>
              <w:right w:val="nil"/>
            </w:tcBorders>
            <w:shd w:val="clear" w:color="auto" w:fill="FF9900"/>
            <w:noWrap/>
            <w:vAlign w:val="bottom"/>
            <w:hideMark/>
          </w:tcPr>
          <w:p w14:paraId="5A9E6424" w14:textId="77777777" w:rsidR="00ED1FB0" w:rsidRPr="00B2324A" w:rsidRDefault="00ED1FB0" w:rsidP="008171FE">
            <w:pPr>
              <w:rPr>
                <w:rFonts w:cs="Calibri"/>
                <w:color w:val="000000"/>
                <w:sz w:val="18"/>
                <w:szCs w:val="18"/>
              </w:rPr>
            </w:pPr>
            <w:r w:rsidRPr="00B2324A">
              <w:rPr>
                <w:rFonts w:cs="Calibri"/>
                <w:color w:val="000000"/>
                <w:sz w:val="18"/>
                <w:szCs w:val="18"/>
              </w:rPr>
              <w:t> </w:t>
            </w:r>
          </w:p>
        </w:tc>
        <w:tc>
          <w:tcPr>
            <w:tcW w:w="1460" w:type="dxa"/>
            <w:tcBorders>
              <w:top w:val="nil"/>
              <w:left w:val="nil"/>
              <w:bottom w:val="nil"/>
              <w:right w:val="nil"/>
            </w:tcBorders>
            <w:shd w:val="clear" w:color="auto" w:fill="FF9900"/>
            <w:noWrap/>
            <w:vAlign w:val="bottom"/>
            <w:hideMark/>
          </w:tcPr>
          <w:p w14:paraId="09749B9D" w14:textId="77777777" w:rsidR="00ED1FB0" w:rsidRPr="00B2324A" w:rsidRDefault="00ED1FB0" w:rsidP="008171FE">
            <w:pPr>
              <w:rPr>
                <w:rFonts w:cs="Calibri"/>
                <w:color w:val="000000"/>
                <w:sz w:val="18"/>
                <w:szCs w:val="18"/>
              </w:rPr>
            </w:pPr>
            <w:r w:rsidRPr="00B2324A">
              <w:rPr>
                <w:rFonts w:cs="Calibri"/>
                <w:color w:val="000000"/>
                <w:sz w:val="18"/>
                <w:szCs w:val="18"/>
              </w:rPr>
              <w:t> </w:t>
            </w:r>
          </w:p>
        </w:tc>
        <w:tc>
          <w:tcPr>
            <w:tcW w:w="1440" w:type="dxa"/>
            <w:tcBorders>
              <w:top w:val="nil"/>
              <w:left w:val="nil"/>
              <w:bottom w:val="nil"/>
              <w:right w:val="nil"/>
            </w:tcBorders>
            <w:shd w:val="clear" w:color="auto" w:fill="FF9900"/>
            <w:noWrap/>
            <w:vAlign w:val="bottom"/>
            <w:hideMark/>
          </w:tcPr>
          <w:p w14:paraId="5982840A" w14:textId="77777777" w:rsidR="00ED1FB0" w:rsidRPr="00B2324A" w:rsidRDefault="00ED1FB0" w:rsidP="008171FE">
            <w:pPr>
              <w:rPr>
                <w:rFonts w:cs="Arial"/>
                <w:b/>
                <w:bCs/>
                <w:i/>
                <w:iCs/>
                <w:color w:val="FFFFFF"/>
                <w:sz w:val="18"/>
                <w:szCs w:val="18"/>
              </w:rPr>
            </w:pPr>
            <w:r w:rsidRPr="00B2324A">
              <w:rPr>
                <w:rFonts w:cs="Arial"/>
                <w:b/>
                <w:bCs/>
                <w:i/>
                <w:iCs/>
                <w:color w:val="FFFFFF"/>
                <w:sz w:val="18"/>
                <w:szCs w:val="18"/>
              </w:rPr>
              <w:t xml:space="preserve">mp </w:t>
            </w:r>
            <w:proofErr w:type="gramStart"/>
            <w:r w:rsidRPr="00B2324A">
              <w:rPr>
                <w:rFonts w:cs="Arial"/>
                <w:b/>
                <w:bCs/>
                <w:i/>
                <w:iCs/>
                <w:color w:val="FFFFFF"/>
                <w:sz w:val="18"/>
                <w:szCs w:val="18"/>
              </w:rPr>
              <w:t>1-3</w:t>
            </w:r>
            <w:proofErr w:type="gramEnd"/>
          </w:p>
        </w:tc>
      </w:tr>
      <w:tr w:rsidR="00ED1FB0" w14:paraId="35711AC4" w14:textId="77777777" w:rsidTr="008171FE">
        <w:trPr>
          <w:trHeight w:val="350"/>
        </w:trPr>
        <w:tc>
          <w:tcPr>
            <w:tcW w:w="5443" w:type="dxa"/>
            <w:tcBorders>
              <w:top w:val="nil"/>
              <w:left w:val="nil"/>
              <w:bottom w:val="nil"/>
              <w:right w:val="nil"/>
            </w:tcBorders>
            <w:shd w:val="clear" w:color="auto" w:fill="FF9900"/>
            <w:noWrap/>
            <w:vAlign w:val="bottom"/>
            <w:hideMark/>
          </w:tcPr>
          <w:p w14:paraId="328109B6" w14:textId="77777777" w:rsidR="00ED1FB0" w:rsidRPr="00B2324A" w:rsidRDefault="00ED1FB0" w:rsidP="008171FE">
            <w:pPr>
              <w:rPr>
                <w:rFonts w:cs="Arial"/>
                <w:b/>
                <w:bCs/>
                <w:i/>
                <w:iCs/>
                <w:color w:val="FFFFFF"/>
                <w:sz w:val="18"/>
                <w:szCs w:val="18"/>
              </w:rPr>
            </w:pPr>
            <w:r w:rsidRPr="00B2324A">
              <w:rPr>
                <w:rFonts w:cs="Arial"/>
                <w:b/>
                <w:bCs/>
                <w:i/>
                <w:iCs/>
                <w:color w:val="FFFFFF" w:themeColor="background1"/>
                <w:sz w:val="18"/>
                <w:szCs w:val="18"/>
              </w:rPr>
              <w:t xml:space="preserve">Fastighets- och servicenämnden/Regionservice </w:t>
            </w:r>
          </w:p>
        </w:tc>
        <w:tc>
          <w:tcPr>
            <w:tcW w:w="1460" w:type="dxa"/>
            <w:tcBorders>
              <w:top w:val="nil"/>
              <w:left w:val="nil"/>
              <w:bottom w:val="nil"/>
              <w:right w:val="nil"/>
            </w:tcBorders>
            <w:shd w:val="clear" w:color="auto" w:fill="FF9900"/>
            <w:noWrap/>
            <w:vAlign w:val="bottom"/>
            <w:hideMark/>
          </w:tcPr>
          <w:p w14:paraId="1B5E645C" w14:textId="77777777" w:rsidR="00ED1FB0" w:rsidRPr="00B2324A" w:rsidRDefault="00ED1FB0" w:rsidP="008171FE">
            <w:pPr>
              <w:rPr>
                <w:rFonts w:cs="Calibri"/>
                <w:color w:val="000000"/>
                <w:sz w:val="18"/>
                <w:szCs w:val="18"/>
              </w:rPr>
            </w:pPr>
            <w:r w:rsidRPr="00B2324A">
              <w:rPr>
                <w:rFonts w:cs="Calibri"/>
                <w:color w:val="000000"/>
                <w:sz w:val="18"/>
                <w:szCs w:val="18"/>
              </w:rPr>
              <w:t> </w:t>
            </w:r>
          </w:p>
        </w:tc>
        <w:tc>
          <w:tcPr>
            <w:tcW w:w="1460" w:type="dxa"/>
            <w:tcBorders>
              <w:top w:val="nil"/>
              <w:left w:val="nil"/>
              <w:bottom w:val="nil"/>
              <w:right w:val="nil"/>
            </w:tcBorders>
            <w:shd w:val="clear" w:color="auto" w:fill="FF9900"/>
            <w:noWrap/>
            <w:vAlign w:val="bottom"/>
            <w:hideMark/>
          </w:tcPr>
          <w:p w14:paraId="0F3CDDB7" w14:textId="77777777" w:rsidR="00ED1FB0" w:rsidRPr="00B2324A" w:rsidRDefault="00ED1FB0" w:rsidP="008171FE">
            <w:pPr>
              <w:rPr>
                <w:rFonts w:cs="Calibri"/>
                <w:color w:val="000000"/>
                <w:sz w:val="18"/>
                <w:szCs w:val="18"/>
              </w:rPr>
            </w:pPr>
            <w:r w:rsidRPr="00B2324A">
              <w:rPr>
                <w:rFonts w:cs="Calibri"/>
                <w:color w:val="000000"/>
                <w:sz w:val="18"/>
                <w:szCs w:val="18"/>
              </w:rPr>
              <w:t> </w:t>
            </w:r>
          </w:p>
        </w:tc>
        <w:tc>
          <w:tcPr>
            <w:tcW w:w="1440" w:type="dxa"/>
            <w:tcBorders>
              <w:top w:val="nil"/>
              <w:left w:val="nil"/>
              <w:bottom w:val="nil"/>
              <w:right w:val="nil"/>
            </w:tcBorders>
            <w:shd w:val="clear" w:color="auto" w:fill="FF9900"/>
            <w:noWrap/>
            <w:vAlign w:val="bottom"/>
            <w:hideMark/>
          </w:tcPr>
          <w:p w14:paraId="2D12631D" w14:textId="77777777" w:rsidR="00ED1FB0" w:rsidRPr="00B2324A" w:rsidRDefault="00ED1FB0" w:rsidP="008171FE">
            <w:pPr>
              <w:rPr>
                <w:rFonts w:cs="Calibri"/>
                <w:color w:val="000000"/>
                <w:sz w:val="18"/>
                <w:szCs w:val="18"/>
              </w:rPr>
            </w:pPr>
            <w:r w:rsidRPr="00B2324A">
              <w:rPr>
                <w:rFonts w:cs="Calibri"/>
                <w:color w:val="000000"/>
                <w:sz w:val="18"/>
                <w:szCs w:val="18"/>
              </w:rPr>
              <w:t> </w:t>
            </w:r>
          </w:p>
        </w:tc>
      </w:tr>
      <w:tr w:rsidR="00ED1FB0" w14:paraId="4ADCCC20" w14:textId="77777777" w:rsidTr="008171FE">
        <w:trPr>
          <w:trHeight w:val="170"/>
        </w:trPr>
        <w:tc>
          <w:tcPr>
            <w:tcW w:w="5443" w:type="dxa"/>
            <w:tcBorders>
              <w:top w:val="nil"/>
              <w:left w:val="nil"/>
              <w:bottom w:val="nil"/>
              <w:right w:val="nil"/>
            </w:tcBorders>
            <w:shd w:val="clear" w:color="auto" w:fill="auto"/>
            <w:vAlign w:val="bottom"/>
            <w:hideMark/>
          </w:tcPr>
          <w:p w14:paraId="4F1C92C4" w14:textId="77777777" w:rsidR="00ED1FB0" w:rsidRPr="00B2324A" w:rsidRDefault="00ED1FB0" w:rsidP="008171FE">
            <w:pPr>
              <w:rPr>
                <w:rFonts w:cs="Calibri"/>
                <w:color w:val="000000"/>
                <w:sz w:val="18"/>
                <w:szCs w:val="18"/>
              </w:rPr>
            </w:pPr>
            <w:r w:rsidRPr="00B2324A">
              <w:rPr>
                <w:rFonts w:cs="Calibri"/>
                <w:color w:val="000000"/>
                <w:sz w:val="18"/>
                <w:szCs w:val="18"/>
              </w:rPr>
              <w:t> </w:t>
            </w:r>
          </w:p>
        </w:tc>
        <w:tc>
          <w:tcPr>
            <w:tcW w:w="1460" w:type="dxa"/>
            <w:tcBorders>
              <w:top w:val="nil"/>
              <w:left w:val="nil"/>
              <w:bottom w:val="nil"/>
              <w:right w:val="nil"/>
            </w:tcBorders>
            <w:shd w:val="clear" w:color="auto" w:fill="auto"/>
            <w:vAlign w:val="bottom"/>
            <w:hideMark/>
          </w:tcPr>
          <w:p w14:paraId="16374093" w14:textId="77777777" w:rsidR="00ED1FB0" w:rsidRPr="00B2324A" w:rsidRDefault="00ED1FB0" w:rsidP="008171FE">
            <w:pPr>
              <w:rPr>
                <w:rFonts w:cs="Calibri"/>
                <w:color w:val="000000"/>
                <w:sz w:val="18"/>
                <w:szCs w:val="18"/>
              </w:rPr>
            </w:pPr>
            <w:r w:rsidRPr="00B2324A">
              <w:rPr>
                <w:rFonts w:cs="Calibri"/>
                <w:color w:val="000000"/>
                <w:sz w:val="18"/>
                <w:szCs w:val="18"/>
              </w:rPr>
              <w:t> </w:t>
            </w:r>
          </w:p>
        </w:tc>
        <w:tc>
          <w:tcPr>
            <w:tcW w:w="1460" w:type="dxa"/>
            <w:tcBorders>
              <w:top w:val="nil"/>
              <w:left w:val="nil"/>
              <w:bottom w:val="nil"/>
              <w:right w:val="nil"/>
            </w:tcBorders>
            <w:shd w:val="clear" w:color="auto" w:fill="auto"/>
            <w:vAlign w:val="bottom"/>
            <w:hideMark/>
          </w:tcPr>
          <w:p w14:paraId="60B4F2EF" w14:textId="77777777" w:rsidR="00ED1FB0" w:rsidRPr="00B2324A" w:rsidRDefault="00ED1FB0" w:rsidP="008171FE">
            <w:pPr>
              <w:rPr>
                <w:rFonts w:cs="Calibri"/>
                <w:color w:val="000000"/>
                <w:sz w:val="18"/>
                <w:szCs w:val="18"/>
              </w:rPr>
            </w:pPr>
            <w:r w:rsidRPr="00B2324A">
              <w:rPr>
                <w:rFonts w:cs="Calibri"/>
                <w:color w:val="000000"/>
                <w:sz w:val="18"/>
                <w:szCs w:val="18"/>
              </w:rPr>
              <w:t> </w:t>
            </w:r>
          </w:p>
        </w:tc>
        <w:tc>
          <w:tcPr>
            <w:tcW w:w="1440" w:type="dxa"/>
            <w:tcBorders>
              <w:top w:val="nil"/>
              <w:left w:val="nil"/>
              <w:bottom w:val="nil"/>
              <w:right w:val="nil"/>
            </w:tcBorders>
            <w:shd w:val="clear" w:color="auto" w:fill="auto"/>
            <w:vAlign w:val="bottom"/>
            <w:hideMark/>
          </w:tcPr>
          <w:p w14:paraId="18D8A91F" w14:textId="77777777" w:rsidR="00ED1FB0" w:rsidRPr="00B2324A" w:rsidRDefault="00ED1FB0" w:rsidP="008171FE">
            <w:pPr>
              <w:rPr>
                <w:rFonts w:cs="Calibri"/>
                <w:color w:val="000000"/>
                <w:sz w:val="18"/>
                <w:szCs w:val="18"/>
              </w:rPr>
            </w:pPr>
            <w:r w:rsidRPr="00B2324A">
              <w:rPr>
                <w:rFonts w:cs="Calibri"/>
                <w:color w:val="000000"/>
                <w:sz w:val="18"/>
                <w:szCs w:val="18"/>
              </w:rPr>
              <w:t> </w:t>
            </w:r>
          </w:p>
        </w:tc>
      </w:tr>
      <w:tr w:rsidR="00ED1FB0" w14:paraId="07369718" w14:textId="77777777" w:rsidTr="008171FE">
        <w:trPr>
          <w:trHeight w:val="290"/>
        </w:trPr>
        <w:tc>
          <w:tcPr>
            <w:tcW w:w="5443" w:type="dxa"/>
            <w:tcBorders>
              <w:top w:val="single" w:sz="4" w:space="0" w:color="auto"/>
              <w:left w:val="single" w:sz="4" w:space="0" w:color="auto"/>
              <w:bottom w:val="nil"/>
              <w:right w:val="single" w:sz="4" w:space="0" w:color="auto"/>
            </w:tcBorders>
            <w:shd w:val="clear" w:color="auto" w:fill="F2F2F2" w:themeFill="background1" w:themeFillShade="F2"/>
            <w:hideMark/>
          </w:tcPr>
          <w:p w14:paraId="138FB481" w14:textId="77777777" w:rsidR="00ED1FB0" w:rsidRPr="00B2324A" w:rsidRDefault="00ED1FB0" w:rsidP="008171FE">
            <w:pPr>
              <w:rPr>
                <w:rFonts w:cs="Calibri"/>
                <w:b/>
                <w:bCs/>
                <w:color w:val="000000"/>
                <w:sz w:val="18"/>
                <w:szCs w:val="18"/>
              </w:rPr>
            </w:pPr>
            <w:r w:rsidRPr="00B2324A">
              <w:rPr>
                <w:rFonts w:cs="Calibri"/>
                <w:b/>
                <w:bCs/>
                <w:color w:val="000000"/>
                <w:sz w:val="18"/>
                <w:szCs w:val="18"/>
              </w:rPr>
              <w:t>RESULTATSAMMANSTÄLLNING</w:t>
            </w:r>
          </w:p>
        </w:tc>
        <w:tc>
          <w:tcPr>
            <w:tcW w:w="1460" w:type="dxa"/>
            <w:tcBorders>
              <w:top w:val="single" w:sz="4" w:space="0" w:color="auto"/>
              <w:left w:val="nil"/>
              <w:bottom w:val="nil"/>
              <w:right w:val="single" w:sz="4" w:space="0" w:color="auto"/>
            </w:tcBorders>
            <w:shd w:val="clear" w:color="auto" w:fill="F2F2F2" w:themeFill="background1" w:themeFillShade="F2"/>
            <w:noWrap/>
            <w:vAlign w:val="bottom"/>
            <w:hideMark/>
          </w:tcPr>
          <w:p w14:paraId="0B0C7A47" w14:textId="77777777" w:rsidR="00ED1FB0" w:rsidRPr="00B2324A" w:rsidRDefault="00ED1FB0" w:rsidP="008171FE">
            <w:pPr>
              <w:jc w:val="center"/>
              <w:rPr>
                <w:rFonts w:cs="Arial"/>
                <w:b/>
                <w:bCs/>
                <w:sz w:val="18"/>
                <w:szCs w:val="18"/>
              </w:rPr>
            </w:pPr>
            <w:r w:rsidRPr="00B2324A">
              <w:rPr>
                <w:rFonts w:cs="Arial"/>
                <w:b/>
                <w:bCs/>
                <w:sz w:val="18"/>
                <w:szCs w:val="18"/>
              </w:rPr>
              <w:t>Budget</w:t>
            </w:r>
          </w:p>
        </w:tc>
        <w:tc>
          <w:tcPr>
            <w:tcW w:w="1460" w:type="dxa"/>
            <w:tcBorders>
              <w:top w:val="single" w:sz="4" w:space="0" w:color="auto"/>
              <w:left w:val="nil"/>
              <w:bottom w:val="nil"/>
              <w:right w:val="single" w:sz="4" w:space="0" w:color="auto"/>
            </w:tcBorders>
            <w:shd w:val="clear" w:color="auto" w:fill="F2F2F2" w:themeFill="background1" w:themeFillShade="F2"/>
            <w:noWrap/>
            <w:vAlign w:val="bottom"/>
            <w:hideMark/>
          </w:tcPr>
          <w:p w14:paraId="78BBBF38" w14:textId="77777777" w:rsidR="00ED1FB0" w:rsidRPr="00B2324A" w:rsidRDefault="00ED1FB0" w:rsidP="008171FE">
            <w:pPr>
              <w:jc w:val="center"/>
              <w:rPr>
                <w:rFonts w:cs="Arial"/>
                <w:b/>
                <w:bCs/>
                <w:sz w:val="18"/>
                <w:szCs w:val="18"/>
              </w:rPr>
            </w:pPr>
            <w:r w:rsidRPr="00B2324A">
              <w:rPr>
                <w:rFonts w:cs="Arial"/>
                <w:b/>
                <w:bCs/>
                <w:sz w:val="18"/>
                <w:szCs w:val="18"/>
              </w:rPr>
              <w:t>Prognos</w:t>
            </w:r>
          </w:p>
        </w:tc>
        <w:tc>
          <w:tcPr>
            <w:tcW w:w="1440" w:type="dxa"/>
            <w:tcBorders>
              <w:top w:val="single" w:sz="4" w:space="0" w:color="auto"/>
              <w:left w:val="nil"/>
              <w:bottom w:val="nil"/>
              <w:right w:val="single" w:sz="4" w:space="0" w:color="auto"/>
            </w:tcBorders>
            <w:shd w:val="clear" w:color="auto" w:fill="F2F2F2" w:themeFill="background1" w:themeFillShade="F2"/>
            <w:noWrap/>
            <w:vAlign w:val="bottom"/>
            <w:hideMark/>
          </w:tcPr>
          <w:p w14:paraId="55A3C7D8" w14:textId="77777777" w:rsidR="00ED1FB0" w:rsidRPr="00B2324A" w:rsidRDefault="00ED1FB0" w:rsidP="008171FE">
            <w:pPr>
              <w:jc w:val="center"/>
              <w:rPr>
                <w:rFonts w:cs="Arial"/>
                <w:b/>
                <w:bCs/>
                <w:sz w:val="18"/>
                <w:szCs w:val="18"/>
              </w:rPr>
            </w:pPr>
            <w:r w:rsidRPr="00B2324A">
              <w:rPr>
                <w:rFonts w:cs="Arial"/>
                <w:b/>
                <w:bCs/>
                <w:sz w:val="18"/>
                <w:szCs w:val="18"/>
              </w:rPr>
              <w:t>Budget</w:t>
            </w:r>
          </w:p>
        </w:tc>
      </w:tr>
      <w:tr w:rsidR="00ED1FB0" w14:paraId="0B688872" w14:textId="77777777" w:rsidTr="008171FE">
        <w:trPr>
          <w:trHeight w:val="290"/>
        </w:trPr>
        <w:tc>
          <w:tcPr>
            <w:tcW w:w="544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544F1D3A" w14:textId="77777777" w:rsidR="00ED1FB0" w:rsidRPr="00B2324A" w:rsidRDefault="00ED1FB0" w:rsidP="008171FE">
            <w:pPr>
              <w:rPr>
                <w:rFonts w:cs="Calibri"/>
                <w:color w:val="000000"/>
                <w:sz w:val="18"/>
                <w:szCs w:val="18"/>
              </w:rPr>
            </w:pPr>
            <w:r w:rsidRPr="00B2324A">
              <w:rPr>
                <w:rFonts w:cs="Calibri"/>
                <w:color w:val="000000"/>
                <w:sz w:val="18"/>
                <w:szCs w:val="18"/>
              </w:rPr>
              <w:t> </w:t>
            </w:r>
          </w:p>
        </w:tc>
        <w:tc>
          <w:tcPr>
            <w:tcW w:w="1460" w:type="dxa"/>
            <w:tcBorders>
              <w:top w:val="nil"/>
              <w:left w:val="nil"/>
              <w:bottom w:val="single" w:sz="4" w:space="0" w:color="auto"/>
              <w:right w:val="single" w:sz="4" w:space="0" w:color="auto"/>
            </w:tcBorders>
            <w:shd w:val="clear" w:color="auto" w:fill="F2F2F2" w:themeFill="background1" w:themeFillShade="F2"/>
            <w:noWrap/>
            <w:vAlign w:val="bottom"/>
            <w:hideMark/>
          </w:tcPr>
          <w:p w14:paraId="7A212C08" w14:textId="77777777" w:rsidR="00ED1FB0" w:rsidRPr="00B2324A" w:rsidRDefault="00ED1FB0" w:rsidP="008171FE">
            <w:pPr>
              <w:jc w:val="center"/>
              <w:rPr>
                <w:rFonts w:cs="Arial"/>
                <w:b/>
                <w:bCs/>
                <w:sz w:val="18"/>
                <w:szCs w:val="18"/>
              </w:rPr>
            </w:pPr>
            <w:r w:rsidRPr="00B2324A">
              <w:rPr>
                <w:rFonts w:cs="Arial"/>
                <w:b/>
                <w:bCs/>
                <w:sz w:val="18"/>
                <w:szCs w:val="18"/>
              </w:rPr>
              <w:t xml:space="preserve">2024, mkr </w:t>
            </w:r>
          </w:p>
        </w:tc>
        <w:tc>
          <w:tcPr>
            <w:tcW w:w="1460" w:type="dxa"/>
            <w:tcBorders>
              <w:top w:val="nil"/>
              <w:left w:val="nil"/>
              <w:bottom w:val="single" w:sz="4" w:space="0" w:color="auto"/>
              <w:right w:val="single" w:sz="4" w:space="0" w:color="auto"/>
            </w:tcBorders>
            <w:shd w:val="clear" w:color="auto" w:fill="F2F2F2" w:themeFill="background1" w:themeFillShade="F2"/>
            <w:noWrap/>
            <w:vAlign w:val="bottom"/>
            <w:hideMark/>
          </w:tcPr>
          <w:p w14:paraId="65A339AC" w14:textId="77777777" w:rsidR="00ED1FB0" w:rsidRPr="00B2324A" w:rsidRDefault="00ED1FB0" w:rsidP="008171FE">
            <w:pPr>
              <w:jc w:val="center"/>
              <w:rPr>
                <w:rFonts w:cs="Arial"/>
                <w:b/>
                <w:bCs/>
                <w:sz w:val="18"/>
                <w:szCs w:val="18"/>
              </w:rPr>
            </w:pPr>
            <w:r w:rsidRPr="00B2324A">
              <w:rPr>
                <w:rFonts w:cs="Arial"/>
                <w:b/>
                <w:bCs/>
                <w:sz w:val="18"/>
                <w:szCs w:val="18"/>
              </w:rPr>
              <w:t>2024, mkr</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14:paraId="41E8649C" w14:textId="77777777" w:rsidR="00ED1FB0" w:rsidRPr="00B2324A" w:rsidRDefault="00ED1FB0" w:rsidP="008171FE">
            <w:pPr>
              <w:jc w:val="center"/>
              <w:rPr>
                <w:rFonts w:cs="Arial"/>
                <w:b/>
                <w:bCs/>
                <w:sz w:val="18"/>
                <w:szCs w:val="18"/>
              </w:rPr>
            </w:pPr>
            <w:r w:rsidRPr="00B2324A">
              <w:rPr>
                <w:rFonts w:cs="Arial"/>
                <w:b/>
                <w:bCs/>
                <w:sz w:val="18"/>
                <w:szCs w:val="18"/>
              </w:rPr>
              <w:t xml:space="preserve">2025, mkr </w:t>
            </w:r>
          </w:p>
        </w:tc>
      </w:tr>
      <w:tr w:rsidR="00ED1FB0" w14:paraId="6D81CCBA" w14:textId="77777777" w:rsidTr="008171FE">
        <w:trPr>
          <w:trHeight w:val="290"/>
        </w:trPr>
        <w:tc>
          <w:tcPr>
            <w:tcW w:w="5443" w:type="dxa"/>
            <w:tcBorders>
              <w:top w:val="nil"/>
              <w:left w:val="single" w:sz="4" w:space="0" w:color="auto"/>
              <w:bottom w:val="nil"/>
              <w:right w:val="single" w:sz="4" w:space="0" w:color="auto"/>
            </w:tcBorders>
            <w:shd w:val="clear" w:color="auto" w:fill="auto"/>
            <w:vAlign w:val="bottom"/>
            <w:hideMark/>
          </w:tcPr>
          <w:p w14:paraId="444733BD" w14:textId="77777777" w:rsidR="00ED1FB0" w:rsidRPr="00B2324A" w:rsidRDefault="00ED1FB0" w:rsidP="008171FE">
            <w:pPr>
              <w:rPr>
                <w:rFonts w:cs="Calibri"/>
                <w:color w:val="000000"/>
                <w:sz w:val="18"/>
                <w:szCs w:val="18"/>
              </w:rPr>
            </w:pPr>
            <w:r w:rsidRPr="00B2324A">
              <w:rPr>
                <w:rFonts w:cs="Calibri"/>
                <w:color w:val="000000"/>
                <w:sz w:val="18"/>
                <w:szCs w:val="18"/>
              </w:rPr>
              <w:t>Försäljning av verksamhet, varor och tjänster</w:t>
            </w:r>
          </w:p>
        </w:tc>
        <w:tc>
          <w:tcPr>
            <w:tcW w:w="1460" w:type="dxa"/>
            <w:tcBorders>
              <w:top w:val="nil"/>
              <w:left w:val="nil"/>
              <w:bottom w:val="nil"/>
              <w:right w:val="single" w:sz="4" w:space="0" w:color="auto"/>
            </w:tcBorders>
            <w:shd w:val="clear" w:color="auto" w:fill="auto"/>
            <w:vAlign w:val="bottom"/>
            <w:hideMark/>
          </w:tcPr>
          <w:p w14:paraId="7A98A795" w14:textId="77777777" w:rsidR="00ED1FB0" w:rsidRPr="00B2324A" w:rsidRDefault="00ED1FB0" w:rsidP="008171FE">
            <w:pPr>
              <w:jc w:val="right"/>
              <w:rPr>
                <w:rFonts w:cs="Calibri"/>
                <w:color w:val="000000"/>
                <w:sz w:val="18"/>
                <w:szCs w:val="18"/>
              </w:rPr>
            </w:pPr>
            <w:r w:rsidRPr="00B2324A">
              <w:rPr>
                <w:rFonts w:cs="Calibri"/>
                <w:color w:val="000000"/>
                <w:sz w:val="18"/>
                <w:szCs w:val="18"/>
              </w:rPr>
              <w:t>2300,9</w:t>
            </w:r>
          </w:p>
        </w:tc>
        <w:tc>
          <w:tcPr>
            <w:tcW w:w="1460" w:type="dxa"/>
            <w:tcBorders>
              <w:top w:val="nil"/>
              <w:left w:val="nil"/>
              <w:bottom w:val="nil"/>
              <w:right w:val="single" w:sz="4" w:space="0" w:color="auto"/>
            </w:tcBorders>
            <w:shd w:val="clear" w:color="auto" w:fill="auto"/>
            <w:vAlign w:val="bottom"/>
            <w:hideMark/>
          </w:tcPr>
          <w:p w14:paraId="4D61FBBC" w14:textId="77777777" w:rsidR="00ED1FB0" w:rsidRPr="00B2324A" w:rsidRDefault="00ED1FB0" w:rsidP="008171FE">
            <w:pPr>
              <w:jc w:val="right"/>
              <w:rPr>
                <w:rFonts w:cs="Calibri"/>
                <w:sz w:val="18"/>
                <w:szCs w:val="18"/>
              </w:rPr>
            </w:pPr>
            <w:r w:rsidRPr="00B2324A">
              <w:rPr>
                <w:rFonts w:cs="Calibri"/>
                <w:sz w:val="18"/>
                <w:szCs w:val="18"/>
              </w:rPr>
              <w:t>2308,8</w:t>
            </w:r>
          </w:p>
        </w:tc>
        <w:tc>
          <w:tcPr>
            <w:tcW w:w="1440" w:type="dxa"/>
            <w:tcBorders>
              <w:top w:val="nil"/>
              <w:left w:val="nil"/>
              <w:bottom w:val="nil"/>
              <w:right w:val="single" w:sz="4" w:space="0" w:color="auto"/>
            </w:tcBorders>
            <w:shd w:val="clear" w:color="auto" w:fill="auto"/>
            <w:vAlign w:val="bottom"/>
            <w:hideMark/>
          </w:tcPr>
          <w:p w14:paraId="430337D5" w14:textId="77777777" w:rsidR="00ED1FB0" w:rsidRPr="00B2324A" w:rsidRDefault="00ED1FB0" w:rsidP="008171FE">
            <w:pPr>
              <w:jc w:val="right"/>
              <w:rPr>
                <w:rFonts w:cs="Calibri"/>
                <w:color w:val="000000"/>
                <w:sz w:val="18"/>
                <w:szCs w:val="18"/>
              </w:rPr>
            </w:pPr>
            <w:r w:rsidRPr="00B2324A">
              <w:rPr>
                <w:rFonts w:cs="Calibri"/>
                <w:color w:val="000000"/>
                <w:sz w:val="18"/>
                <w:szCs w:val="18"/>
              </w:rPr>
              <w:t>2430,6</w:t>
            </w:r>
          </w:p>
        </w:tc>
      </w:tr>
      <w:tr w:rsidR="00ED1FB0" w14:paraId="23B5FE6E" w14:textId="77777777" w:rsidTr="008171FE">
        <w:trPr>
          <w:trHeight w:val="290"/>
        </w:trPr>
        <w:tc>
          <w:tcPr>
            <w:tcW w:w="5443" w:type="dxa"/>
            <w:tcBorders>
              <w:top w:val="nil"/>
              <w:left w:val="single" w:sz="4" w:space="0" w:color="auto"/>
              <w:bottom w:val="nil"/>
              <w:right w:val="single" w:sz="4" w:space="0" w:color="auto"/>
            </w:tcBorders>
            <w:shd w:val="clear" w:color="auto" w:fill="auto"/>
            <w:vAlign w:val="bottom"/>
            <w:hideMark/>
          </w:tcPr>
          <w:p w14:paraId="2798006C" w14:textId="77777777" w:rsidR="00ED1FB0" w:rsidRPr="00B2324A" w:rsidRDefault="00ED1FB0" w:rsidP="008171FE">
            <w:pPr>
              <w:rPr>
                <w:rFonts w:cs="Calibri"/>
                <w:color w:val="000000"/>
                <w:sz w:val="18"/>
                <w:szCs w:val="18"/>
              </w:rPr>
            </w:pPr>
            <w:r w:rsidRPr="00B2324A">
              <w:rPr>
                <w:rFonts w:cs="Calibri"/>
                <w:color w:val="000000"/>
                <w:sz w:val="18"/>
                <w:szCs w:val="18"/>
              </w:rPr>
              <w:t>Hyresintäkter</w:t>
            </w:r>
          </w:p>
        </w:tc>
        <w:tc>
          <w:tcPr>
            <w:tcW w:w="1460" w:type="dxa"/>
            <w:tcBorders>
              <w:top w:val="nil"/>
              <w:left w:val="nil"/>
              <w:bottom w:val="nil"/>
              <w:right w:val="single" w:sz="4" w:space="0" w:color="auto"/>
            </w:tcBorders>
            <w:shd w:val="clear" w:color="auto" w:fill="auto"/>
            <w:vAlign w:val="bottom"/>
            <w:hideMark/>
          </w:tcPr>
          <w:p w14:paraId="0D54E4A9" w14:textId="77777777" w:rsidR="00ED1FB0" w:rsidRPr="00B2324A" w:rsidRDefault="00ED1FB0" w:rsidP="008171FE">
            <w:pPr>
              <w:jc w:val="right"/>
              <w:rPr>
                <w:rFonts w:cs="Calibri"/>
                <w:color w:val="000000"/>
                <w:sz w:val="18"/>
                <w:szCs w:val="18"/>
              </w:rPr>
            </w:pPr>
            <w:r w:rsidRPr="00B2324A">
              <w:rPr>
                <w:rFonts w:cs="Calibri"/>
                <w:color w:val="000000"/>
                <w:sz w:val="18"/>
                <w:szCs w:val="18"/>
              </w:rPr>
              <w:t>0</w:t>
            </w:r>
          </w:p>
        </w:tc>
        <w:tc>
          <w:tcPr>
            <w:tcW w:w="1460" w:type="dxa"/>
            <w:tcBorders>
              <w:top w:val="nil"/>
              <w:left w:val="nil"/>
              <w:bottom w:val="nil"/>
              <w:right w:val="single" w:sz="4" w:space="0" w:color="auto"/>
            </w:tcBorders>
            <w:shd w:val="clear" w:color="auto" w:fill="auto"/>
            <w:vAlign w:val="bottom"/>
            <w:hideMark/>
          </w:tcPr>
          <w:p w14:paraId="0CD4EE6E" w14:textId="77777777" w:rsidR="00ED1FB0" w:rsidRPr="00B2324A" w:rsidRDefault="00ED1FB0" w:rsidP="008171FE">
            <w:pPr>
              <w:jc w:val="right"/>
              <w:rPr>
                <w:rFonts w:cs="Calibri"/>
                <w:sz w:val="18"/>
                <w:szCs w:val="18"/>
              </w:rPr>
            </w:pPr>
            <w:r w:rsidRPr="00B2324A">
              <w:rPr>
                <w:rFonts w:cs="Calibri"/>
                <w:sz w:val="18"/>
                <w:szCs w:val="18"/>
              </w:rPr>
              <w:t>0</w:t>
            </w:r>
          </w:p>
        </w:tc>
        <w:tc>
          <w:tcPr>
            <w:tcW w:w="1440" w:type="dxa"/>
            <w:tcBorders>
              <w:top w:val="nil"/>
              <w:left w:val="nil"/>
              <w:bottom w:val="nil"/>
              <w:right w:val="single" w:sz="4" w:space="0" w:color="auto"/>
            </w:tcBorders>
            <w:shd w:val="clear" w:color="auto" w:fill="auto"/>
            <w:vAlign w:val="bottom"/>
            <w:hideMark/>
          </w:tcPr>
          <w:p w14:paraId="5FCBACEE" w14:textId="77777777" w:rsidR="00ED1FB0" w:rsidRPr="00B2324A" w:rsidRDefault="00ED1FB0" w:rsidP="008171FE">
            <w:pPr>
              <w:jc w:val="right"/>
              <w:rPr>
                <w:rFonts w:cs="Calibri"/>
                <w:color w:val="000000"/>
                <w:sz w:val="18"/>
                <w:szCs w:val="18"/>
              </w:rPr>
            </w:pPr>
            <w:r w:rsidRPr="00B2324A">
              <w:rPr>
                <w:rFonts w:cs="Calibri"/>
                <w:color w:val="000000"/>
                <w:sz w:val="18"/>
                <w:szCs w:val="18"/>
              </w:rPr>
              <w:t>0</w:t>
            </w:r>
          </w:p>
        </w:tc>
      </w:tr>
      <w:tr w:rsidR="00ED1FB0" w14:paraId="446C3FA1" w14:textId="77777777" w:rsidTr="008171FE">
        <w:trPr>
          <w:trHeight w:val="290"/>
        </w:trPr>
        <w:tc>
          <w:tcPr>
            <w:tcW w:w="5443" w:type="dxa"/>
            <w:tcBorders>
              <w:top w:val="nil"/>
              <w:left w:val="single" w:sz="4" w:space="0" w:color="auto"/>
              <w:bottom w:val="nil"/>
              <w:right w:val="single" w:sz="4" w:space="0" w:color="auto"/>
            </w:tcBorders>
            <w:shd w:val="clear" w:color="auto" w:fill="auto"/>
            <w:vAlign w:val="bottom"/>
            <w:hideMark/>
          </w:tcPr>
          <w:p w14:paraId="17EE7EE1" w14:textId="77777777" w:rsidR="00ED1FB0" w:rsidRPr="00B2324A" w:rsidRDefault="00ED1FB0" w:rsidP="008171FE">
            <w:pPr>
              <w:rPr>
                <w:rFonts w:cs="Calibri"/>
                <w:color w:val="000000"/>
                <w:sz w:val="18"/>
                <w:szCs w:val="18"/>
              </w:rPr>
            </w:pPr>
            <w:r w:rsidRPr="00B2324A">
              <w:rPr>
                <w:rFonts w:cs="Calibri"/>
                <w:color w:val="000000"/>
                <w:sz w:val="18"/>
                <w:szCs w:val="18"/>
              </w:rPr>
              <w:t xml:space="preserve">Övriga intäkter och bidrag </w:t>
            </w:r>
            <w:proofErr w:type="spellStart"/>
            <w:r w:rsidRPr="00B2324A">
              <w:rPr>
                <w:rFonts w:cs="Calibri"/>
                <w:color w:val="000000"/>
                <w:sz w:val="18"/>
                <w:szCs w:val="18"/>
              </w:rPr>
              <w:t>inkl</w:t>
            </w:r>
            <w:proofErr w:type="spellEnd"/>
            <w:r w:rsidRPr="00B2324A">
              <w:rPr>
                <w:rFonts w:cs="Calibri"/>
                <w:color w:val="000000"/>
                <w:sz w:val="18"/>
                <w:szCs w:val="18"/>
              </w:rPr>
              <w:t xml:space="preserve"> statsbidrag</w:t>
            </w:r>
          </w:p>
        </w:tc>
        <w:tc>
          <w:tcPr>
            <w:tcW w:w="1460" w:type="dxa"/>
            <w:tcBorders>
              <w:top w:val="nil"/>
              <w:left w:val="nil"/>
              <w:bottom w:val="nil"/>
              <w:right w:val="single" w:sz="4" w:space="0" w:color="auto"/>
            </w:tcBorders>
            <w:shd w:val="clear" w:color="auto" w:fill="auto"/>
            <w:vAlign w:val="bottom"/>
            <w:hideMark/>
          </w:tcPr>
          <w:p w14:paraId="33864B11" w14:textId="77777777" w:rsidR="00ED1FB0" w:rsidRPr="00B2324A" w:rsidRDefault="00ED1FB0" w:rsidP="008171FE">
            <w:pPr>
              <w:jc w:val="right"/>
              <w:rPr>
                <w:rFonts w:cs="Calibri"/>
                <w:color w:val="000000"/>
                <w:sz w:val="18"/>
                <w:szCs w:val="18"/>
              </w:rPr>
            </w:pPr>
            <w:r w:rsidRPr="00B2324A">
              <w:rPr>
                <w:rFonts w:cs="Calibri"/>
                <w:color w:val="000000"/>
                <w:sz w:val="18"/>
                <w:szCs w:val="18"/>
              </w:rPr>
              <w:t>36,0</w:t>
            </w:r>
          </w:p>
        </w:tc>
        <w:tc>
          <w:tcPr>
            <w:tcW w:w="1460" w:type="dxa"/>
            <w:tcBorders>
              <w:top w:val="nil"/>
              <w:left w:val="nil"/>
              <w:bottom w:val="nil"/>
              <w:right w:val="single" w:sz="4" w:space="0" w:color="auto"/>
            </w:tcBorders>
            <w:shd w:val="clear" w:color="auto" w:fill="auto"/>
            <w:vAlign w:val="bottom"/>
            <w:hideMark/>
          </w:tcPr>
          <w:p w14:paraId="41FA9009" w14:textId="77777777" w:rsidR="00ED1FB0" w:rsidRPr="00B2324A" w:rsidRDefault="00ED1FB0" w:rsidP="008171FE">
            <w:pPr>
              <w:jc w:val="right"/>
              <w:rPr>
                <w:rFonts w:cs="Calibri"/>
                <w:color w:val="000000"/>
                <w:sz w:val="18"/>
                <w:szCs w:val="18"/>
              </w:rPr>
            </w:pPr>
            <w:r w:rsidRPr="00B2324A">
              <w:rPr>
                <w:rFonts w:cs="Calibri"/>
                <w:color w:val="000000"/>
                <w:sz w:val="18"/>
                <w:szCs w:val="18"/>
              </w:rPr>
              <w:t>42,6</w:t>
            </w:r>
          </w:p>
        </w:tc>
        <w:tc>
          <w:tcPr>
            <w:tcW w:w="1440" w:type="dxa"/>
            <w:tcBorders>
              <w:top w:val="nil"/>
              <w:left w:val="nil"/>
              <w:bottom w:val="nil"/>
              <w:right w:val="single" w:sz="4" w:space="0" w:color="auto"/>
            </w:tcBorders>
            <w:shd w:val="clear" w:color="auto" w:fill="auto"/>
            <w:vAlign w:val="bottom"/>
            <w:hideMark/>
          </w:tcPr>
          <w:p w14:paraId="44748056" w14:textId="77777777" w:rsidR="00ED1FB0" w:rsidRPr="00B2324A" w:rsidRDefault="00ED1FB0" w:rsidP="008171FE">
            <w:pPr>
              <w:jc w:val="right"/>
              <w:rPr>
                <w:rFonts w:cs="Calibri"/>
                <w:color w:val="000000"/>
                <w:sz w:val="18"/>
                <w:szCs w:val="18"/>
              </w:rPr>
            </w:pPr>
            <w:r w:rsidRPr="00B2324A">
              <w:rPr>
                <w:rFonts w:cs="Calibri"/>
                <w:color w:val="000000"/>
                <w:sz w:val="18"/>
                <w:szCs w:val="18"/>
              </w:rPr>
              <w:t>41,0</w:t>
            </w:r>
          </w:p>
        </w:tc>
      </w:tr>
      <w:tr w:rsidR="00ED1FB0" w14:paraId="2946D045" w14:textId="77777777" w:rsidTr="008171FE">
        <w:trPr>
          <w:trHeight w:val="290"/>
        </w:trPr>
        <w:tc>
          <w:tcPr>
            <w:tcW w:w="5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D1DBE8" w14:textId="77777777" w:rsidR="00ED1FB0" w:rsidRPr="00B2324A" w:rsidRDefault="00ED1FB0" w:rsidP="008171FE">
            <w:pPr>
              <w:rPr>
                <w:rFonts w:cs="Calibri"/>
                <w:b/>
                <w:bCs/>
                <w:color w:val="000000"/>
                <w:sz w:val="18"/>
                <w:szCs w:val="18"/>
              </w:rPr>
            </w:pPr>
            <w:r w:rsidRPr="00B2324A">
              <w:rPr>
                <w:rFonts w:cs="Calibri"/>
                <w:b/>
                <w:bCs/>
                <w:color w:val="000000"/>
                <w:sz w:val="18"/>
                <w:szCs w:val="18"/>
              </w:rPr>
              <w:t>Verksamhetens intäkter</w:t>
            </w:r>
          </w:p>
        </w:tc>
        <w:tc>
          <w:tcPr>
            <w:tcW w:w="14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18EE13A6" w14:textId="77777777" w:rsidR="00ED1FB0" w:rsidRPr="00B2324A" w:rsidRDefault="00ED1FB0" w:rsidP="008171FE">
            <w:pPr>
              <w:jc w:val="right"/>
              <w:rPr>
                <w:rFonts w:cs="Calibri"/>
                <w:b/>
                <w:bCs/>
                <w:color w:val="000000"/>
                <w:sz w:val="18"/>
                <w:szCs w:val="18"/>
              </w:rPr>
            </w:pPr>
            <w:r w:rsidRPr="00B2324A">
              <w:rPr>
                <w:rFonts w:cs="Calibri"/>
                <w:b/>
                <w:bCs/>
                <w:color w:val="000000"/>
                <w:sz w:val="18"/>
                <w:szCs w:val="18"/>
              </w:rPr>
              <w:t>2336,5</w:t>
            </w:r>
          </w:p>
        </w:tc>
        <w:tc>
          <w:tcPr>
            <w:tcW w:w="14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00747BE9" w14:textId="77777777" w:rsidR="00ED1FB0" w:rsidRPr="00B2324A" w:rsidRDefault="00ED1FB0" w:rsidP="008171FE">
            <w:pPr>
              <w:jc w:val="right"/>
              <w:rPr>
                <w:rFonts w:cs="Calibri"/>
                <w:b/>
                <w:bCs/>
                <w:color w:val="000000"/>
                <w:sz w:val="18"/>
                <w:szCs w:val="18"/>
              </w:rPr>
            </w:pPr>
            <w:r w:rsidRPr="00B2324A">
              <w:rPr>
                <w:rFonts w:cs="Calibri"/>
                <w:b/>
                <w:bCs/>
                <w:color w:val="000000"/>
                <w:sz w:val="18"/>
                <w:szCs w:val="18"/>
              </w:rPr>
              <w:t>2350,4</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0FC23A64" w14:textId="77777777" w:rsidR="00ED1FB0" w:rsidRPr="00B2324A" w:rsidRDefault="00ED1FB0" w:rsidP="008171FE">
            <w:pPr>
              <w:jc w:val="right"/>
              <w:rPr>
                <w:rFonts w:cs="Calibri"/>
                <w:b/>
                <w:bCs/>
                <w:color w:val="000000"/>
                <w:sz w:val="18"/>
                <w:szCs w:val="18"/>
              </w:rPr>
            </w:pPr>
            <w:r w:rsidRPr="00B2324A">
              <w:rPr>
                <w:rFonts w:cs="Calibri"/>
                <w:b/>
                <w:bCs/>
                <w:color w:val="000000"/>
                <w:sz w:val="18"/>
                <w:szCs w:val="18"/>
              </w:rPr>
              <w:t>2471,6</w:t>
            </w:r>
          </w:p>
        </w:tc>
      </w:tr>
      <w:tr w:rsidR="00ED1FB0" w14:paraId="20BFACBD" w14:textId="77777777" w:rsidTr="008171FE">
        <w:trPr>
          <w:trHeight w:val="290"/>
        </w:trPr>
        <w:tc>
          <w:tcPr>
            <w:tcW w:w="5443" w:type="dxa"/>
            <w:tcBorders>
              <w:top w:val="nil"/>
              <w:left w:val="single" w:sz="4" w:space="0" w:color="auto"/>
              <w:bottom w:val="nil"/>
              <w:right w:val="single" w:sz="4" w:space="0" w:color="auto"/>
            </w:tcBorders>
            <w:shd w:val="clear" w:color="auto" w:fill="auto"/>
            <w:noWrap/>
            <w:vAlign w:val="bottom"/>
            <w:hideMark/>
          </w:tcPr>
          <w:p w14:paraId="1CB0A00D" w14:textId="77777777" w:rsidR="00ED1FB0" w:rsidRPr="00B2324A" w:rsidRDefault="00ED1FB0" w:rsidP="008171FE">
            <w:pPr>
              <w:rPr>
                <w:rFonts w:cs="Calibri"/>
                <w:color w:val="000000"/>
                <w:sz w:val="18"/>
                <w:szCs w:val="18"/>
              </w:rPr>
            </w:pPr>
            <w:r w:rsidRPr="00B2324A">
              <w:rPr>
                <w:rFonts w:cs="Calibri"/>
                <w:color w:val="000000"/>
                <w:sz w:val="18"/>
                <w:szCs w:val="18"/>
              </w:rPr>
              <w:t>Personalkostnader</w:t>
            </w:r>
          </w:p>
        </w:tc>
        <w:tc>
          <w:tcPr>
            <w:tcW w:w="1460" w:type="dxa"/>
            <w:tcBorders>
              <w:top w:val="nil"/>
              <w:left w:val="nil"/>
              <w:bottom w:val="nil"/>
              <w:right w:val="single" w:sz="4" w:space="0" w:color="auto"/>
            </w:tcBorders>
            <w:shd w:val="clear" w:color="auto" w:fill="auto"/>
            <w:vAlign w:val="bottom"/>
            <w:hideMark/>
          </w:tcPr>
          <w:p w14:paraId="3EF8DEAA" w14:textId="77777777" w:rsidR="00ED1FB0" w:rsidRPr="00B2324A" w:rsidRDefault="00ED1FB0" w:rsidP="008171FE">
            <w:pPr>
              <w:jc w:val="right"/>
              <w:rPr>
                <w:rFonts w:cs="Calibri"/>
                <w:color w:val="000000"/>
                <w:sz w:val="18"/>
                <w:szCs w:val="18"/>
              </w:rPr>
            </w:pPr>
            <w:r w:rsidRPr="00B2324A">
              <w:rPr>
                <w:rFonts w:cs="Calibri"/>
                <w:color w:val="000000"/>
                <w:sz w:val="18"/>
                <w:szCs w:val="18"/>
              </w:rPr>
              <w:t>-1343,5</w:t>
            </w:r>
          </w:p>
        </w:tc>
        <w:tc>
          <w:tcPr>
            <w:tcW w:w="1460" w:type="dxa"/>
            <w:tcBorders>
              <w:top w:val="nil"/>
              <w:left w:val="nil"/>
              <w:bottom w:val="nil"/>
              <w:right w:val="single" w:sz="4" w:space="0" w:color="auto"/>
            </w:tcBorders>
            <w:shd w:val="clear" w:color="auto" w:fill="auto"/>
            <w:vAlign w:val="bottom"/>
            <w:hideMark/>
          </w:tcPr>
          <w:p w14:paraId="6C82E9F9" w14:textId="77777777" w:rsidR="00ED1FB0" w:rsidRPr="00B2324A" w:rsidRDefault="00ED1FB0" w:rsidP="008171FE">
            <w:pPr>
              <w:jc w:val="right"/>
              <w:rPr>
                <w:rFonts w:cs="Calibri"/>
                <w:color w:val="000000"/>
                <w:sz w:val="18"/>
                <w:szCs w:val="18"/>
              </w:rPr>
            </w:pPr>
            <w:r w:rsidRPr="00B2324A">
              <w:rPr>
                <w:rFonts w:cs="Calibri"/>
                <w:color w:val="000000"/>
                <w:sz w:val="18"/>
                <w:szCs w:val="18"/>
              </w:rPr>
              <w:t>-1363,2</w:t>
            </w:r>
          </w:p>
        </w:tc>
        <w:tc>
          <w:tcPr>
            <w:tcW w:w="1440" w:type="dxa"/>
            <w:tcBorders>
              <w:top w:val="nil"/>
              <w:left w:val="nil"/>
              <w:bottom w:val="nil"/>
              <w:right w:val="single" w:sz="4" w:space="0" w:color="auto"/>
            </w:tcBorders>
            <w:shd w:val="clear" w:color="auto" w:fill="auto"/>
            <w:vAlign w:val="bottom"/>
            <w:hideMark/>
          </w:tcPr>
          <w:p w14:paraId="7556DF41" w14:textId="77777777" w:rsidR="00ED1FB0" w:rsidRPr="00B2324A" w:rsidRDefault="00ED1FB0" w:rsidP="008171FE">
            <w:pPr>
              <w:jc w:val="right"/>
              <w:rPr>
                <w:rFonts w:cs="Calibri"/>
                <w:color w:val="000000"/>
                <w:sz w:val="18"/>
                <w:szCs w:val="18"/>
              </w:rPr>
            </w:pPr>
            <w:r w:rsidRPr="00B2324A">
              <w:rPr>
                <w:rFonts w:cs="Calibri"/>
                <w:color w:val="000000"/>
                <w:sz w:val="18"/>
                <w:szCs w:val="18"/>
              </w:rPr>
              <w:t>-1423,0</w:t>
            </w:r>
          </w:p>
        </w:tc>
      </w:tr>
      <w:tr w:rsidR="00ED1FB0" w14:paraId="37A892DE" w14:textId="77777777" w:rsidTr="008171FE">
        <w:trPr>
          <w:trHeight w:val="290"/>
        </w:trPr>
        <w:tc>
          <w:tcPr>
            <w:tcW w:w="5443" w:type="dxa"/>
            <w:tcBorders>
              <w:top w:val="nil"/>
              <w:left w:val="single" w:sz="4" w:space="0" w:color="auto"/>
              <w:bottom w:val="nil"/>
              <w:right w:val="single" w:sz="4" w:space="0" w:color="auto"/>
            </w:tcBorders>
            <w:shd w:val="clear" w:color="auto" w:fill="auto"/>
            <w:vAlign w:val="bottom"/>
            <w:hideMark/>
          </w:tcPr>
          <w:p w14:paraId="74528654" w14:textId="77777777" w:rsidR="00ED1FB0" w:rsidRPr="00B2324A" w:rsidRDefault="00ED1FB0" w:rsidP="008171FE">
            <w:pPr>
              <w:rPr>
                <w:rFonts w:cs="Calibri"/>
                <w:color w:val="000000"/>
                <w:sz w:val="18"/>
                <w:szCs w:val="18"/>
              </w:rPr>
            </w:pPr>
            <w:r w:rsidRPr="00B2324A">
              <w:rPr>
                <w:rFonts w:cs="Calibri"/>
                <w:color w:val="000000"/>
                <w:sz w:val="18"/>
                <w:szCs w:val="18"/>
              </w:rPr>
              <w:t xml:space="preserve">Fastighetskostnader </w:t>
            </w:r>
          </w:p>
        </w:tc>
        <w:tc>
          <w:tcPr>
            <w:tcW w:w="1460" w:type="dxa"/>
            <w:tcBorders>
              <w:top w:val="nil"/>
              <w:left w:val="nil"/>
              <w:bottom w:val="nil"/>
              <w:right w:val="single" w:sz="4" w:space="0" w:color="auto"/>
            </w:tcBorders>
            <w:shd w:val="clear" w:color="auto" w:fill="auto"/>
            <w:vAlign w:val="bottom"/>
            <w:hideMark/>
          </w:tcPr>
          <w:p w14:paraId="1CF84326" w14:textId="77777777" w:rsidR="00ED1FB0" w:rsidRPr="00B2324A" w:rsidRDefault="00ED1FB0" w:rsidP="008171FE">
            <w:pPr>
              <w:jc w:val="right"/>
              <w:rPr>
                <w:rFonts w:cs="Calibri"/>
                <w:color w:val="000000"/>
                <w:sz w:val="18"/>
                <w:szCs w:val="18"/>
              </w:rPr>
            </w:pPr>
            <w:r w:rsidRPr="00B2324A">
              <w:rPr>
                <w:rFonts w:cs="Calibri"/>
                <w:color w:val="000000"/>
                <w:sz w:val="18"/>
                <w:szCs w:val="18"/>
              </w:rPr>
              <w:t>-419,3</w:t>
            </w:r>
          </w:p>
        </w:tc>
        <w:tc>
          <w:tcPr>
            <w:tcW w:w="1460" w:type="dxa"/>
            <w:tcBorders>
              <w:top w:val="nil"/>
              <w:left w:val="nil"/>
              <w:bottom w:val="nil"/>
              <w:right w:val="single" w:sz="4" w:space="0" w:color="auto"/>
            </w:tcBorders>
            <w:shd w:val="clear" w:color="auto" w:fill="auto"/>
            <w:vAlign w:val="bottom"/>
            <w:hideMark/>
          </w:tcPr>
          <w:p w14:paraId="7B34BB61" w14:textId="77777777" w:rsidR="00ED1FB0" w:rsidRPr="00B2324A" w:rsidRDefault="00ED1FB0" w:rsidP="008171FE">
            <w:pPr>
              <w:jc w:val="right"/>
              <w:rPr>
                <w:rFonts w:cs="Calibri"/>
                <w:color w:val="000000"/>
                <w:sz w:val="18"/>
                <w:szCs w:val="18"/>
              </w:rPr>
            </w:pPr>
            <w:r w:rsidRPr="00B2324A">
              <w:rPr>
                <w:rFonts w:cs="Calibri"/>
                <w:color w:val="000000"/>
                <w:sz w:val="18"/>
                <w:szCs w:val="18"/>
              </w:rPr>
              <w:t>-410,3</w:t>
            </w:r>
          </w:p>
        </w:tc>
        <w:tc>
          <w:tcPr>
            <w:tcW w:w="1440" w:type="dxa"/>
            <w:tcBorders>
              <w:top w:val="nil"/>
              <w:left w:val="nil"/>
              <w:bottom w:val="nil"/>
              <w:right w:val="single" w:sz="4" w:space="0" w:color="auto"/>
            </w:tcBorders>
            <w:shd w:val="clear" w:color="auto" w:fill="auto"/>
            <w:vAlign w:val="bottom"/>
            <w:hideMark/>
          </w:tcPr>
          <w:p w14:paraId="31056962" w14:textId="77777777" w:rsidR="00ED1FB0" w:rsidRPr="00B2324A" w:rsidRDefault="00ED1FB0" w:rsidP="008171FE">
            <w:pPr>
              <w:jc w:val="right"/>
              <w:rPr>
                <w:rFonts w:cs="Calibri"/>
                <w:color w:val="000000"/>
                <w:sz w:val="18"/>
                <w:szCs w:val="18"/>
              </w:rPr>
            </w:pPr>
            <w:r w:rsidRPr="00B2324A">
              <w:rPr>
                <w:rFonts w:cs="Calibri"/>
                <w:color w:val="000000"/>
                <w:sz w:val="18"/>
                <w:szCs w:val="18"/>
              </w:rPr>
              <w:t>-500,3</w:t>
            </w:r>
          </w:p>
        </w:tc>
      </w:tr>
      <w:tr w:rsidR="00ED1FB0" w14:paraId="736E420B" w14:textId="77777777" w:rsidTr="008171FE">
        <w:trPr>
          <w:trHeight w:val="290"/>
        </w:trPr>
        <w:tc>
          <w:tcPr>
            <w:tcW w:w="5443" w:type="dxa"/>
            <w:tcBorders>
              <w:top w:val="nil"/>
              <w:left w:val="single" w:sz="4" w:space="0" w:color="auto"/>
              <w:bottom w:val="nil"/>
              <w:right w:val="single" w:sz="4" w:space="0" w:color="auto"/>
            </w:tcBorders>
            <w:shd w:val="clear" w:color="auto" w:fill="auto"/>
            <w:noWrap/>
            <w:vAlign w:val="bottom"/>
            <w:hideMark/>
          </w:tcPr>
          <w:p w14:paraId="59172650" w14:textId="77777777" w:rsidR="00ED1FB0" w:rsidRPr="00B2324A" w:rsidRDefault="00ED1FB0" w:rsidP="008171FE">
            <w:pPr>
              <w:rPr>
                <w:rFonts w:cs="Calibri"/>
                <w:color w:val="000000"/>
                <w:sz w:val="18"/>
                <w:szCs w:val="18"/>
              </w:rPr>
            </w:pPr>
            <w:r w:rsidRPr="00B2324A">
              <w:rPr>
                <w:rFonts w:cs="Calibri"/>
                <w:color w:val="000000"/>
                <w:sz w:val="18"/>
                <w:szCs w:val="18"/>
              </w:rPr>
              <w:t xml:space="preserve">Material och tjänster </w:t>
            </w:r>
          </w:p>
        </w:tc>
        <w:tc>
          <w:tcPr>
            <w:tcW w:w="1460" w:type="dxa"/>
            <w:tcBorders>
              <w:top w:val="nil"/>
              <w:left w:val="nil"/>
              <w:bottom w:val="nil"/>
              <w:right w:val="single" w:sz="4" w:space="0" w:color="auto"/>
            </w:tcBorders>
            <w:shd w:val="clear" w:color="auto" w:fill="auto"/>
            <w:vAlign w:val="bottom"/>
            <w:hideMark/>
          </w:tcPr>
          <w:p w14:paraId="6825B8D5" w14:textId="77777777" w:rsidR="00ED1FB0" w:rsidRPr="00B2324A" w:rsidRDefault="00ED1FB0" w:rsidP="008171FE">
            <w:pPr>
              <w:jc w:val="right"/>
              <w:rPr>
                <w:rFonts w:cs="Calibri"/>
                <w:color w:val="000000"/>
                <w:sz w:val="18"/>
                <w:szCs w:val="18"/>
              </w:rPr>
            </w:pPr>
            <w:r w:rsidRPr="00B2324A">
              <w:rPr>
                <w:rFonts w:cs="Calibri"/>
                <w:color w:val="000000"/>
                <w:sz w:val="18"/>
                <w:szCs w:val="18"/>
              </w:rPr>
              <w:t>-232,2</w:t>
            </w:r>
          </w:p>
        </w:tc>
        <w:tc>
          <w:tcPr>
            <w:tcW w:w="1460" w:type="dxa"/>
            <w:tcBorders>
              <w:top w:val="nil"/>
              <w:left w:val="nil"/>
              <w:bottom w:val="nil"/>
              <w:right w:val="single" w:sz="4" w:space="0" w:color="auto"/>
            </w:tcBorders>
            <w:shd w:val="clear" w:color="auto" w:fill="auto"/>
            <w:vAlign w:val="bottom"/>
            <w:hideMark/>
          </w:tcPr>
          <w:p w14:paraId="0A30A131" w14:textId="77777777" w:rsidR="00ED1FB0" w:rsidRPr="00B2324A" w:rsidRDefault="00ED1FB0" w:rsidP="008171FE">
            <w:pPr>
              <w:jc w:val="right"/>
              <w:rPr>
                <w:rFonts w:cs="Calibri"/>
                <w:color w:val="000000"/>
                <w:sz w:val="18"/>
                <w:szCs w:val="18"/>
              </w:rPr>
            </w:pPr>
            <w:r w:rsidRPr="00B2324A">
              <w:rPr>
                <w:rFonts w:cs="Calibri"/>
                <w:color w:val="000000"/>
                <w:sz w:val="18"/>
                <w:szCs w:val="18"/>
              </w:rPr>
              <w:t>-234,7</w:t>
            </w:r>
          </w:p>
        </w:tc>
        <w:tc>
          <w:tcPr>
            <w:tcW w:w="1440" w:type="dxa"/>
            <w:tcBorders>
              <w:top w:val="nil"/>
              <w:left w:val="nil"/>
              <w:bottom w:val="nil"/>
              <w:right w:val="single" w:sz="4" w:space="0" w:color="auto"/>
            </w:tcBorders>
            <w:shd w:val="clear" w:color="auto" w:fill="auto"/>
            <w:vAlign w:val="bottom"/>
            <w:hideMark/>
          </w:tcPr>
          <w:p w14:paraId="06A4982A" w14:textId="77777777" w:rsidR="00ED1FB0" w:rsidRPr="00B2324A" w:rsidRDefault="00ED1FB0" w:rsidP="008171FE">
            <w:pPr>
              <w:jc w:val="right"/>
              <w:rPr>
                <w:rFonts w:cs="Calibri"/>
                <w:color w:val="000000"/>
                <w:sz w:val="18"/>
                <w:szCs w:val="18"/>
              </w:rPr>
            </w:pPr>
            <w:r w:rsidRPr="00B2324A">
              <w:rPr>
                <w:rFonts w:cs="Calibri"/>
                <w:color w:val="000000"/>
                <w:sz w:val="18"/>
                <w:szCs w:val="18"/>
              </w:rPr>
              <w:t>-258,7</w:t>
            </w:r>
          </w:p>
        </w:tc>
      </w:tr>
      <w:tr w:rsidR="00ED1FB0" w14:paraId="51FC7820" w14:textId="77777777" w:rsidTr="008171FE">
        <w:trPr>
          <w:trHeight w:val="290"/>
        </w:trPr>
        <w:tc>
          <w:tcPr>
            <w:tcW w:w="5443" w:type="dxa"/>
            <w:tcBorders>
              <w:top w:val="nil"/>
              <w:left w:val="single" w:sz="4" w:space="0" w:color="auto"/>
              <w:bottom w:val="nil"/>
              <w:right w:val="single" w:sz="4" w:space="0" w:color="auto"/>
            </w:tcBorders>
            <w:shd w:val="clear" w:color="auto" w:fill="auto"/>
            <w:noWrap/>
            <w:vAlign w:val="bottom"/>
            <w:hideMark/>
          </w:tcPr>
          <w:p w14:paraId="67E8A870" w14:textId="77777777" w:rsidR="00ED1FB0" w:rsidRPr="00B2324A" w:rsidRDefault="00ED1FB0" w:rsidP="008171FE">
            <w:pPr>
              <w:rPr>
                <w:rFonts w:cs="Calibri"/>
                <w:color w:val="000000"/>
                <w:sz w:val="18"/>
                <w:szCs w:val="18"/>
              </w:rPr>
            </w:pPr>
            <w:r w:rsidRPr="00B2324A">
              <w:rPr>
                <w:rFonts w:cs="Calibri"/>
                <w:color w:val="000000"/>
                <w:sz w:val="18"/>
                <w:szCs w:val="18"/>
              </w:rPr>
              <w:t>Övriga omkostnader</w:t>
            </w:r>
          </w:p>
        </w:tc>
        <w:tc>
          <w:tcPr>
            <w:tcW w:w="1460" w:type="dxa"/>
            <w:tcBorders>
              <w:top w:val="nil"/>
              <w:left w:val="nil"/>
              <w:bottom w:val="nil"/>
              <w:right w:val="single" w:sz="4" w:space="0" w:color="auto"/>
            </w:tcBorders>
            <w:shd w:val="clear" w:color="auto" w:fill="auto"/>
            <w:vAlign w:val="bottom"/>
            <w:hideMark/>
          </w:tcPr>
          <w:p w14:paraId="6392C80C" w14:textId="77777777" w:rsidR="00ED1FB0" w:rsidRPr="00B2324A" w:rsidRDefault="00ED1FB0" w:rsidP="008171FE">
            <w:pPr>
              <w:jc w:val="right"/>
              <w:rPr>
                <w:rFonts w:cs="Calibri"/>
                <w:color w:val="000000"/>
                <w:sz w:val="18"/>
                <w:szCs w:val="18"/>
              </w:rPr>
            </w:pPr>
            <w:r w:rsidRPr="00B2324A">
              <w:rPr>
                <w:rFonts w:cs="Calibri"/>
                <w:color w:val="000000"/>
                <w:sz w:val="18"/>
                <w:szCs w:val="18"/>
              </w:rPr>
              <w:t>-307,7</w:t>
            </w:r>
          </w:p>
        </w:tc>
        <w:tc>
          <w:tcPr>
            <w:tcW w:w="1460" w:type="dxa"/>
            <w:tcBorders>
              <w:top w:val="nil"/>
              <w:left w:val="nil"/>
              <w:bottom w:val="nil"/>
              <w:right w:val="single" w:sz="4" w:space="0" w:color="auto"/>
            </w:tcBorders>
            <w:shd w:val="clear" w:color="auto" w:fill="auto"/>
            <w:vAlign w:val="bottom"/>
            <w:hideMark/>
          </w:tcPr>
          <w:p w14:paraId="11115BC3" w14:textId="77777777" w:rsidR="00ED1FB0" w:rsidRPr="00B2324A" w:rsidRDefault="00ED1FB0" w:rsidP="008171FE">
            <w:pPr>
              <w:jc w:val="right"/>
              <w:rPr>
                <w:rFonts w:cs="Calibri"/>
                <w:color w:val="000000"/>
                <w:sz w:val="18"/>
                <w:szCs w:val="18"/>
              </w:rPr>
            </w:pPr>
            <w:r w:rsidRPr="00B2324A">
              <w:rPr>
                <w:rFonts w:cs="Calibri"/>
                <w:color w:val="000000"/>
                <w:sz w:val="18"/>
                <w:szCs w:val="18"/>
              </w:rPr>
              <w:t>-333,5</w:t>
            </w:r>
          </w:p>
        </w:tc>
        <w:tc>
          <w:tcPr>
            <w:tcW w:w="1440" w:type="dxa"/>
            <w:tcBorders>
              <w:top w:val="nil"/>
              <w:left w:val="nil"/>
              <w:bottom w:val="nil"/>
              <w:right w:val="single" w:sz="4" w:space="0" w:color="auto"/>
            </w:tcBorders>
            <w:shd w:val="clear" w:color="auto" w:fill="auto"/>
            <w:vAlign w:val="bottom"/>
            <w:hideMark/>
          </w:tcPr>
          <w:p w14:paraId="61FA14CA" w14:textId="77777777" w:rsidR="00ED1FB0" w:rsidRPr="00B2324A" w:rsidRDefault="00ED1FB0" w:rsidP="008171FE">
            <w:pPr>
              <w:jc w:val="right"/>
              <w:rPr>
                <w:rFonts w:cs="Calibri"/>
                <w:color w:val="000000"/>
                <w:sz w:val="18"/>
                <w:szCs w:val="18"/>
              </w:rPr>
            </w:pPr>
            <w:r w:rsidRPr="00B2324A">
              <w:rPr>
                <w:rFonts w:cs="Calibri"/>
                <w:color w:val="000000"/>
                <w:sz w:val="18"/>
                <w:szCs w:val="18"/>
              </w:rPr>
              <w:t>-245,1</w:t>
            </w:r>
          </w:p>
        </w:tc>
      </w:tr>
      <w:tr w:rsidR="00ED1FB0" w14:paraId="6E1297AB" w14:textId="77777777" w:rsidTr="008171FE">
        <w:trPr>
          <w:trHeight w:val="290"/>
        </w:trPr>
        <w:tc>
          <w:tcPr>
            <w:tcW w:w="5443" w:type="dxa"/>
            <w:tcBorders>
              <w:top w:val="nil"/>
              <w:left w:val="single" w:sz="4" w:space="0" w:color="auto"/>
              <w:bottom w:val="nil"/>
              <w:right w:val="single" w:sz="4" w:space="0" w:color="auto"/>
            </w:tcBorders>
            <w:shd w:val="clear" w:color="auto" w:fill="auto"/>
            <w:noWrap/>
            <w:vAlign w:val="bottom"/>
            <w:hideMark/>
          </w:tcPr>
          <w:p w14:paraId="5D994F4C" w14:textId="77777777" w:rsidR="00ED1FB0" w:rsidRPr="00B2324A" w:rsidRDefault="00ED1FB0" w:rsidP="008171FE">
            <w:pPr>
              <w:rPr>
                <w:rFonts w:cs="Calibri"/>
                <w:color w:val="000000"/>
                <w:sz w:val="18"/>
                <w:szCs w:val="18"/>
              </w:rPr>
            </w:pPr>
            <w:r w:rsidRPr="00B2324A">
              <w:rPr>
                <w:rFonts w:cs="Calibri"/>
                <w:color w:val="000000"/>
                <w:sz w:val="18"/>
                <w:szCs w:val="18"/>
              </w:rPr>
              <w:t xml:space="preserve">Kostnad för inhyrd personal </w:t>
            </w:r>
          </w:p>
        </w:tc>
        <w:tc>
          <w:tcPr>
            <w:tcW w:w="1460" w:type="dxa"/>
            <w:tcBorders>
              <w:top w:val="nil"/>
              <w:left w:val="nil"/>
              <w:bottom w:val="nil"/>
              <w:right w:val="single" w:sz="4" w:space="0" w:color="auto"/>
            </w:tcBorders>
            <w:shd w:val="clear" w:color="auto" w:fill="auto"/>
            <w:vAlign w:val="bottom"/>
            <w:hideMark/>
          </w:tcPr>
          <w:p w14:paraId="5D83F11F" w14:textId="77777777" w:rsidR="00ED1FB0" w:rsidRPr="00B2324A" w:rsidRDefault="00ED1FB0" w:rsidP="008171FE">
            <w:pPr>
              <w:jc w:val="right"/>
              <w:rPr>
                <w:rFonts w:cs="Calibri"/>
                <w:color w:val="000000"/>
                <w:sz w:val="18"/>
                <w:szCs w:val="18"/>
              </w:rPr>
            </w:pPr>
            <w:r w:rsidRPr="00B2324A">
              <w:rPr>
                <w:rFonts w:cs="Calibri"/>
                <w:color w:val="000000"/>
                <w:sz w:val="18"/>
                <w:szCs w:val="18"/>
              </w:rPr>
              <w:t>0</w:t>
            </w:r>
          </w:p>
        </w:tc>
        <w:tc>
          <w:tcPr>
            <w:tcW w:w="1460" w:type="dxa"/>
            <w:tcBorders>
              <w:top w:val="nil"/>
              <w:left w:val="nil"/>
              <w:bottom w:val="nil"/>
              <w:right w:val="single" w:sz="4" w:space="0" w:color="auto"/>
            </w:tcBorders>
            <w:shd w:val="clear" w:color="auto" w:fill="auto"/>
            <w:vAlign w:val="bottom"/>
            <w:hideMark/>
          </w:tcPr>
          <w:p w14:paraId="29C61C49" w14:textId="77777777" w:rsidR="00ED1FB0" w:rsidRPr="00B2324A" w:rsidRDefault="00ED1FB0" w:rsidP="008171FE">
            <w:pPr>
              <w:jc w:val="right"/>
              <w:rPr>
                <w:rFonts w:cs="Calibri"/>
                <w:color w:val="000000"/>
                <w:sz w:val="18"/>
                <w:szCs w:val="18"/>
              </w:rPr>
            </w:pPr>
            <w:r w:rsidRPr="00B2324A">
              <w:rPr>
                <w:rFonts w:cs="Calibri"/>
                <w:color w:val="000000"/>
                <w:sz w:val="18"/>
                <w:szCs w:val="18"/>
              </w:rPr>
              <w:t>0</w:t>
            </w:r>
          </w:p>
        </w:tc>
        <w:tc>
          <w:tcPr>
            <w:tcW w:w="1440" w:type="dxa"/>
            <w:tcBorders>
              <w:top w:val="nil"/>
              <w:left w:val="nil"/>
              <w:bottom w:val="nil"/>
              <w:right w:val="single" w:sz="4" w:space="0" w:color="auto"/>
            </w:tcBorders>
            <w:shd w:val="clear" w:color="auto" w:fill="auto"/>
            <w:vAlign w:val="bottom"/>
            <w:hideMark/>
          </w:tcPr>
          <w:p w14:paraId="3037F72F" w14:textId="77777777" w:rsidR="00ED1FB0" w:rsidRPr="00B2324A" w:rsidRDefault="00ED1FB0" w:rsidP="008171FE">
            <w:pPr>
              <w:jc w:val="right"/>
              <w:rPr>
                <w:rFonts w:cs="Calibri"/>
                <w:color w:val="000000"/>
                <w:sz w:val="18"/>
                <w:szCs w:val="18"/>
              </w:rPr>
            </w:pPr>
            <w:r w:rsidRPr="00B2324A">
              <w:rPr>
                <w:rFonts w:cs="Calibri"/>
                <w:color w:val="000000"/>
                <w:sz w:val="18"/>
                <w:szCs w:val="18"/>
              </w:rPr>
              <w:t>0</w:t>
            </w:r>
          </w:p>
        </w:tc>
      </w:tr>
      <w:tr w:rsidR="00ED1FB0" w14:paraId="71252FEE" w14:textId="77777777" w:rsidTr="008171FE">
        <w:trPr>
          <w:trHeight w:val="290"/>
        </w:trPr>
        <w:tc>
          <w:tcPr>
            <w:tcW w:w="5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5173E7" w14:textId="77777777" w:rsidR="00ED1FB0" w:rsidRPr="00B2324A" w:rsidRDefault="00ED1FB0" w:rsidP="008171FE">
            <w:pPr>
              <w:rPr>
                <w:rFonts w:cs="Calibri"/>
                <w:b/>
                <w:bCs/>
                <w:color w:val="000000"/>
                <w:sz w:val="18"/>
                <w:szCs w:val="18"/>
              </w:rPr>
            </w:pPr>
            <w:r w:rsidRPr="00B2324A">
              <w:rPr>
                <w:rFonts w:cs="Calibri"/>
                <w:b/>
                <w:bCs/>
                <w:color w:val="000000"/>
                <w:sz w:val="18"/>
                <w:szCs w:val="18"/>
              </w:rPr>
              <w:t>Verksamhetens kostnader</w:t>
            </w:r>
          </w:p>
        </w:tc>
        <w:tc>
          <w:tcPr>
            <w:tcW w:w="14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01D85DA2" w14:textId="77777777" w:rsidR="00ED1FB0" w:rsidRPr="00B2324A" w:rsidRDefault="00ED1FB0" w:rsidP="008171FE">
            <w:pPr>
              <w:jc w:val="right"/>
              <w:rPr>
                <w:rFonts w:cs="Calibri"/>
                <w:b/>
                <w:bCs/>
                <w:color w:val="000000"/>
                <w:sz w:val="18"/>
                <w:szCs w:val="18"/>
              </w:rPr>
            </w:pPr>
            <w:r w:rsidRPr="00B2324A">
              <w:rPr>
                <w:rFonts w:cs="Calibri"/>
                <w:b/>
                <w:bCs/>
                <w:color w:val="000000"/>
                <w:sz w:val="18"/>
                <w:szCs w:val="18"/>
              </w:rPr>
              <w:t>-2302,7</w:t>
            </w:r>
          </w:p>
        </w:tc>
        <w:tc>
          <w:tcPr>
            <w:tcW w:w="14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648CB4DD" w14:textId="77777777" w:rsidR="00ED1FB0" w:rsidRPr="00B2324A" w:rsidRDefault="00ED1FB0" w:rsidP="008171FE">
            <w:pPr>
              <w:jc w:val="right"/>
              <w:rPr>
                <w:rFonts w:cs="Calibri"/>
                <w:b/>
                <w:bCs/>
                <w:color w:val="000000"/>
                <w:sz w:val="18"/>
                <w:szCs w:val="18"/>
              </w:rPr>
            </w:pPr>
            <w:r w:rsidRPr="00B2324A">
              <w:rPr>
                <w:rFonts w:cs="Calibri"/>
                <w:b/>
                <w:bCs/>
                <w:color w:val="000000"/>
                <w:sz w:val="18"/>
                <w:szCs w:val="18"/>
              </w:rPr>
              <w:t>-2341,7</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05037827" w14:textId="77777777" w:rsidR="00ED1FB0" w:rsidRPr="00B2324A" w:rsidRDefault="00ED1FB0" w:rsidP="008171FE">
            <w:pPr>
              <w:jc w:val="right"/>
              <w:rPr>
                <w:rFonts w:cs="Calibri"/>
                <w:b/>
                <w:bCs/>
                <w:color w:val="000000"/>
                <w:sz w:val="18"/>
                <w:szCs w:val="18"/>
              </w:rPr>
            </w:pPr>
            <w:r w:rsidRPr="00B2324A">
              <w:rPr>
                <w:rFonts w:cs="Calibri"/>
                <w:b/>
                <w:bCs/>
                <w:color w:val="000000"/>
                <w:sz w:val="18"/>
                <w:szCs w:val="18"/>
              </w:rPr>
              <w:t>-2427,1</w:t>
            </w:r>
          </w:p>
        </w:tc>
      </w:tr>
      <w:tr w:rsidR="00ED1FB0" w14:paraId="6A2C9DD1" w14:textId="77777777" w:rsidTr="008171FE">
        <w:trPr>
          <w:trHeight w:val="290"/>
        </w:trPr>
        <w:tc>
          <w:tcPr>
            <w:tcW w:w="5443" w:type="dxa"/>
            <w:tcBorders>
              <w:top w:val="nil"/>
              <w:left w:val="single" w:sz="4" w:space="0" w:color="auto"/>
              <w:bottom w:val="nil"/>
              <w:right w:val="single" w:sz="4" w:space="0" w:color="auto"/>
            </w:tcBorders>
            <w:shd w:val="clear" w:color="auto" w:fill="auto"/>
            <w:vAlign w:val="bottom"/>
            <w:hideMark/>
          </w:tcPr>
          <w:p w14:paraId="3AACAD68" w14:textId="77777777" w:rsidR="00ED1FB0" w:rsidRPr="00B2324A" w:rsidRDefault="00ED1FB0" w:rsidP="008171FE">
            <w:pPr>
              <w:rPr>
                <w:rFonts w:cs="Calibri"/>
                <w:color w:val="000000"/>
                <w:sz w:val="18"/>
                <w:szCs w:val="18"/>
              </w:rPr>
            </w:pPr>
            <w:r w:rsidRPr="00B2324A">
              <w:rPr>
                <w:rFonts w:cs="Calibri"/>
                <w:color w:val="000000"/>
                <w:sz w:val="18"/>
                <w:szCs w:val="18"/>
              </w:rPr>
              <w:t>Kapitalkostnad</w:t>
            </w:r>
          </w:p>
        </w:tc>
        <w:tc>
          <w:tcPr>
            <w:tcW w:w="1460" w:type="dxa"/>
            <w:tcBorders>
              <w:top w:val="nil"/>
              <w:left w:val="nil"/>
              <w:bottom w:val="nil"/>
              <w:right w:val="single" w:sz="4" w:space="0" w:color="auto"/>
            </w:tcBorders>
            <w:shd w:val="clear" w:color="auto" w:fill="auto"/>
            <w:vAlign w:val="bottom"/>
            <w:hideMark/>
          </w:tcPr>
          <w:p w14:paraId="0D8530A6" w14:textId="77777777" w:rsidR="00ED1FB0" w:rsidRPr="00B2324A" w:rsidRDefault="00ED1FB0" w:rsidP="008171FE">
            <w:pPr>
              <w:jc w:val="right"/>
              <w:rPr>
                <w:rFonts w:cs="Calibri"/>
                <w:color w:val="000000"/>
                <w:sz w:val="18"/>
                <w:szCs w:val="18"/>
              </w:rPr>
            </w:pPr>
            <w:r w:rsidRPr="00B2324A">
              <w:rPr>
                <w:rFonts w:cs="Calibri"/>
                <w:color w:val="000000"/>
                <w:sz w:val="18"/>
                <w:szCs w:val="18"/>
              </w:rPr>
              <w:t>-34,2</w:t>
            </w:r>
          </w:p>
        </w:tc>
        <w:tc>
          <w:tcPr>
            <w:tcW w:w="1460" w:type="dxa"/>
            <w:tcBorders>
              <w:top w:val="nil"/>
              <w:left w:val="nil"/>
              <w:bottom w:val="nil"/>
              <w:right w:val="single" w:sz="4" w:space="0" w:color="auto"/>
            </w:tcBorders>
            <w:shd w:val="clear" w:color="auto" w:fill="auto"/>
            <w:vAlign w:val="bottom"/>
            <w:hideMark/>
          </w:tcPr>
          <w:p w14:paraId="49A7F6D1" w14:textId="77777777" w:rsidR="00ED1FB0" w:rsidRPr="00B2324A" w:rsidRDefault="00ED1FB0" w:rsidP="008171FE">
            <w:pPr>
              <w:jc w:val="right"/>
              <w:rPr>
                <w:rFonts w:cs="Calibri"/>
                <w:color w:val="000000"/>
                <w:sz w:val="18"/>
                <w:szCs w:val="18"/>
              </w:rPr>
            </w:pPr>
            <w:r w:rsidRPr="00B2324A">
              <w:rPr>
                <w:rFonts w:cs="Calibri"/>
                <w:color w:val="000000"/>
                <w:sz w:val="18"/>
                <w:szCs w:val="18"/>
              </w:rPr>
              <w:t>-27,4</w:t>
            </w:r>
          </w:p>
        </w:tc>
        <w:tc>
          <w:tcPr>
            <w:tcW w:w="1440" w:type="dxa"/>
            <w:tcBorders>
              <w:top w:val="nil"/>
              <w:left w:val="nil"/>
              <w:bottom w:val="nil"/>
              <w:right w:val="single" w:sz="4" w:space="0" w:color="auto"/>
            </w:tcBorders>
            <w:shd w:val="clear" w:color="auto" w:fill="auto"/>
            <w:vAlign w:val="bottom"/>
            <w:hideMark/>
          </w:tcPr>
          <w:p w14:paraId="4BB497B3" w14:textId="77777777" w:rsidR="00ED1FB0" w:rsidRPr="00B2324A" w:rsidRDefault="00ED1FB0" w:rsidP="008171FE">
            <w:pPr>
              <w:jc w:val="right"/>
              <w:rPr>
                <w:rFonts w:cs="Calibri"/>
                <w:color w:val="000000"/>
                <w:sz w:val="18"/>
                <w:szCs w:val="18"/>
              </w:rPr>
            </w:pPr>
            <w:r w:rsidRPr="00B2324A">
              <w:rPr>
                <w:rFonts w:cs="Calibri"/>
                <w:color w:val="000000"/>
                <w:sz w:val="18"/>
                <w:szCs w:val="18"/>
              </w:rPr>
              <w:t>-44,5</w:t>
            </w:r>
          </w:p>
        </w:tc>
      </w:tr>
      <w:tr w:rsidR="00ED1FB0" w14:paraId="704E38FC" w14:textId="77777777" w:rsidTr="008171FE">
        <w:trPr>
          <w:trHeight w:val="290"/>
        </w:trPr>
        <w:tc>
          <w:tcPr>
            <w:tcW w:w="5443" w:type="dxa"/>
            <w:tcBorders>
              <w:top w:val="nil"/>
              <w:left w:val="single" w:sz="4" w:space="0" w:color="auto"/>
              <w:bottom w:val="single" w:sz="4" w:space="0" w:color="auto"/>
              <w:right w:val="single" w:sz="4" w:space="0" w:color="auto"/>
            </w:tcBorders>
            <w:shd w:val="clear" w:color="auto" w:fill="F2F2F2" w:themeFill="background1" w:themeFillShade="F2"/>
            <w:hideMark/>
          </w:tcPr>
          <w:p w14:paraId="4CAF5B6D" w14:textId="77777777" w:rsidR="00ED1FB0" w:rsidRPr="00B2324A" w:rsidRDefault="00ED1FB0" w:rsidP="008171FE">
            <w:pPr>
              <w:rPr>
                <w:rFonts w:cs="Calibri"/>
                <w:b/>
                <w:bCs/>
                <w:color w:val="000000"/>
                <w:sz w:val="18"/>
                <w:szCs w:val="18"/>
              </w:rPr>
            </w:pPr>
            <w:r w:rsidRPr="00B2324A">
              <w:rPr>
                <w:rFonts w:cs="Calibri"/>
                <w:b/>
                <w:bCs/>
                <w:color w:val="000000"/>
                <w:sz w:val="18"/>
                <w:szCs w:val="18"/>
              </w:rPr>
              <w:t>RESULTAT</w:t>
            </w:r>
          </w:p>
        </w:tc>
        <w:tc>
          <w:tcPr>
            <w:tcW w:w="1460" w:type="dxa"/>
            <w:tcBorders>
              <w:top w:val="nil"/>
              <w:left w:val="nil"/>
              <w:bottom w:val="single" w:sz="4" w:space="0" w:color="auto"/>
              <w:right w:val="single" w:sz="4" w:space="0" w:color="auto"/>
            </w:tcBorders>
            <w:shd w:val="clear" w:color="auto" w:fill="F2F2F2" w:themeFill="background1" w:themeFillShade="F2"/>
            <w:vAlign w:val="bottom"/>
            <w:hideMark/>
          </w:tcPr>
          <w:p w14:paraId="7E535224" w14:textId="77777777" w:rsidR="00ED1FB0" w:rsidRPr="00B2324A" w:rsidRDefault="00ED1FB0" w:rsidP="008171FE">
            <w:pPr>
              <w:jc w:val="right"/>
              <w:rPr>
                <w:rFonts w:cs="Calibri"/>
                <w:b/>
                <w:bCs/>
                <w:color w:val="000000"/>
                <w:sz w:val="18"/>
                <w:szCs w:val="18"/>
              </w:rPr>
            </w:pPr>
            <w:r w:rsidRPr="00B2324A">
              <w:rPr>
                <w:rFonts w:cs="Calibri"/>
                <w:b/>
                <w:bCs/>
                <w:color w:val="000000"/>
                <w:sz w:val="18"/>
                <w:szCs w:val="18"/>
              </w:rPr>
              <w:t>0,0</w:t>
            </w:r>
          </w:p>
        </w:tc>
        <w:tc>
          <w:tcPr>
            <w:tcW w:w="1460" w:type="dxa"/>
            <w:tcBorders>
              <w:top w:val="nil"/>
              <w:left w:val="nil"/>
              <w:bottom w:val="single" w:sz="4" w:space="0" w:color="auto"/>
              <w:right w:val="single" w:sz="4" w:space="0" w:color="auto"/>
            </w:tcBorders>
            <w:shd w:val="clear" w:color="auto" w:fill="F2F2F2" w:themeFill="background1" w:themeFillShade="F2"/>
            <w:vAlign w:val="bottom"/>
            <w:hideMark/>
          </w:tcPr>
          <w:p w14:paraId="5D831E58" w14:textId="77777777" w:rsidR="00ED1FB0" w:rsidRPr="00B2324A" w:rsidRDefault="00ED1FB0" w:rsidP="008171FE">
            <w:pPr>
              <w:jc w:val="right"/>
              <w:rPr>
                <w:rFonts w:cs="Calibri"/>
                <w:b/>
                <w:bCs/>
                <w:sz w:val="18"/>
                <w:szCs w:val="18"/>
              </w:rPr>
            </w:pPr>
            <w:r w:rsidRPr="00B2324A">
              <w:rPr>
                <w:rFonts w:cs="Calibri"/>
                <w:b/>
                <w:bCs/>
                <w:sz w:val="18"/>
                <w:szCs w:val="18"/>
              </w:rPr>
              <w:t>-18,7</w:t>
            </w:r>
          </w:p>
        </w:tc>
        <w:tc>
          <w:tcPr>
            <w:tcW w:w="1440" w:type="dxa"/>
            <w:tcBorders>
              <w:top w:val="nil"/>
              <w:left w:val="nil"/>
              <w:bottom w:val="single" w:sz="4" w:space="0" w:color="auto"/>
              <w:right w:val="single" w:sz="4" w:space="0" w:color="auto"/>
            </w:tcBorders>
            <w:shd w:val="clear" w:color="auto" w:fill="F2F2F2" w:themeFill="background1" w:themeFillShade="F2"/>
            <w:vAlign w:val="bottom"/>
            <w:hideMark/>
          </w:tcPr>
          <w:p w14:paraId="0A300C22" w14:textId="77777777" w:rsidR="00ED1FB0" w:rsidRPr="00B2324A" w:rsidRDefault="00ED1FB0" w:rsidP="008171FE">
            <w:pPr>
              <w:jc w:val="right"/>
              <w:rPr>
                <w:rFonts w:cs="Calibri"/>
                <w:b/>
                <w:bCs/>
                <w:color w:val="000000"/>
                <w:sz w:val="18"/>
                <w:szCs w:val="18"/>
              </w:rPr>
            </w:pPr>
            <w:r w:rsidRPr="00B2324A">
              <w:rPr>
                <w:rFonts w:cs="Calibri"/>
                <w:b/>
                <w:bCs/>
                <w:color w:val="000000"/>
                <w:sz w:val="18"/>
                <w:szCs w:val="18"/>
              </w:rPr>
              <w:t>0,0</w:t>
            </w:r>
          </w:p>
        </w:tc>
      </w:tr>
    </w:tbl>
    <w:p w14:paraId="32630AE5" w14:textId="2E43002C" w:rsidR="00CD2324" w:rsidRPr="00ED1FB0" w:rsidRDefault="00CD2324" w:rsidP="00ED1FB0"/>
    <w:sectPr w:rsidR="00CD2324" w:rsidRPr="00ED1FB0" w:rsidSect="0089154D">
      <w:headerReference w:type="even" r:id="rId21"/>
      <w:headerReference w:type="default" r:id="rId22"/>
      <w:headerReference w:type="first" r:id="rId23"/>
      <w:pgSz w:w="11906" w:h="16838" w:code="9"/>
      <w:pgMar w:top="1985" w:right="2268" w:bottom="1247" w:left="226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FA87" w14:textId="77777777" w:rsidR="00EB7CB8" w:rsidRDefault="00EB7CB8" w:rsidP="0061279B">
      <w:pPr>
        <w:spacing w:line="240" w:lineRule="auto"/>
      </w:pPr>
      <w:r>
        <w:separator/>
      </w:r>
    </w:p>
  </w:endnote>
  <w:endnote w:type="continuationSeparator" w:id="0">
    <w:p w14:paraId="34E35269" w14:textId="77777777" w:rsidR="00EB7CB8" w:rsidRDefault="00EB7CB8" w:rsidP="0061279B">
      <w:pPr>
        <w:spacing w:line="240" w:lineRule="auto"/>
      </w:pPr>
      <w:r>
        <w:continuationSeparator/>
      </w:r>
    </w:p>
  </w:endnote>
  <w:endnote w:type="continuationNotice" w:id="1">
    <w:p w14:paraId="390BCB7D" w14:textId="77777777" w:rsidR="00EB7CB8" w:rsidRDefault="00EB7C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Literata">
    <w:panose1 w:val="00000000000000000000"/>
    <w:charset w:val="00"/>
    <w:family w:val="auto"/>
    <w:pitch w:val="variable"/>
    <w:sig w:usb0="E00002FF" w:usb1="5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861C" w14:textId="77777777" w:rsidR="00ED1FB0" w:rsidRPr="005B04F9" w:rsidRDefault="00ED1FB0" w:rsidP="00334D72">
    <w:pPr>
      <w:pStyle w:val="Sidfot"/>
      <w:tabs>
        <w:tab w:val="clear" w:pos="9026"/>
        <w:tab w:val="right" w:pos="8903"/>
      </w:tabs>
      <w:ind w:right="-1547"/>
      <w:jc w:val="right"/>
    </w:pPr>
    <w:r>
      <w:fldChar w:fldCharType="begin"/>
    </w:r>
    <w:r>
      <w:instrText xml:space="preserve"> PAGE   \* MERGEFORMAT </w:instrText>
    </w:r>
    <w:r>
      <w:fldChar w:fldCharType="separate"/>
    </w:r>
    <w:r>
      <w:rPr>
        <w:noProof/>
      </w:rPr>
      <w:t>34</w:t>
    </w:r>
    <w:r>
      <w:fldChar w:fldCharType="end"/>
    </w:r>
    <w:r>
      <w:t xml:space="preserve"> (</w:t>
    </w:r>
    <w:fldSimple w:instr="NUMPAGES   \* MERGEFORMAT">
      <w:r>
        <w:rPr>
          <w:noProof/>
        </w:rPr>
        <w:t>36</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B0CC" w14:textId="77777777" w:rsidR="00ED1FB0" w:rsidRPr="005B04F9" w:rsidRDefault="00ED1FB0" w:rsidP="00334D72">
    <w:pPr>
      <w:pStyle w:val="Sidfot"/>
      <w:tabs>
        <w:tab w:val="clear" w:pos="9026"/>
        <w:tab w:val="right" w:pos="8903"/>
      </w:tabs>
      <w:ind w:right="-1547"/>
      <w:jc w:val="right"/>
    </w:pPr>
    <w:r>
      <w:fldChar w:fldCharType="begin"/>
    </w:r>
    <w:r>
      <w:instrText xml:space="preserve"> PAGE   \* MERGEFORMAT </w:instrText>
    </w:r>
    <w:r>
      <w:fldChar w:fldCharType="separate"/>
    </w:r>
    <w:r>
      <w:t>2</w:t>
    </w:r>
    <w:r>
      <w:fldChar w:fldCharType="end"/>
    </w:r>
    <w:r>
      <w:t xml:space="preserve"> (</w:t>
    </w:r>
    <w:fldSimple w:instr="NUMPAGES   \* MERGEFORMAT">
      <w:r>
        <w:rPr>
          <w:noProof/>
        </w:rPr>
        <w:t>36</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409D" w14:textId="77777777" w:rsidR="00EB7CB8" w:rsidRDefault="00EB7CB8" w:rsidP="0061279B">
      <w:pPr>
        <w:spacing w:line="240" w:lineRule="auto"/>
      </w:pPr>
      <w:r>
        <w:separator/>
      </w:r>
    </w:p>
  </w:footnote>
  <w:footnote w:type="continuationSeparator" w:id="0">
    <w:p w14:paraId="738A875F" w14:textId="77777777" w:rsidR="00EB7CB8" w:rsidRDefault="00EB7CB8" w:rsidP="0061279B">
      <w:pPr>
        <w:spacing w:line="240" w:lineRule="auto"/>
      </w:pPr>
      <w:r>
        <w:continuationSeparator/>
      </w:r>
    </w:p>
  </w:footnote>
  <w:footnote w:type="continuationNotice" w:id="1">
    <w:p w14:paraId="32C0878C" w14:textId="77777777" w:rsidR="00EB7CB8" w:rsidRDefault="00EB7C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80DD" w14:textId="77777777" w:rsidR="00ED1FB0" w:rsidRDefault="00ED1FB0" w:rsidP="00221A8E">
    <w:pPr>
      <w:pStyle w:val="Sidhuvud"/>
    </w:pPr>
    <w:r w:rsidRPr="00E726DB">
      <w:rPr>
        <w:noProof/>
        <w:lang w:eastAsia="sv-SE"/>
      </w:rPr>
      <w:drawing>
        <wp:anchor distT="0" distB="0" distL="114300" distR="114300" simplePos="0" relativeHeight="251659264" behindDoc="1" locked="0" layoutInCell="1" allowOverlap="1" wp14:anchorId="059F1808" wp14:editId="43699ED5">
          <wp:simplePos x="0" y="0"/>
          <wp:positionH relativeFrom="page">
            <wp:posOffset>6394450</wp:posOffset>
          </wp:positionH>
          <wp:positionV relativeFrom="page">
            <wp:posOffset>381635</wp:posOffset>
          </wp:positionV>
          <wp:extent cx="705600" cy="658800"/>
          <wp:effectExtent l="0" t="0" r="0" b="8255"/>
          <wp:wrapNone/>
          <wp:docPr id="3" name="Bildobjekt 3" descr="Region Skåne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Region Skåne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600" cy="6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D9DE" w14:textId="77777777" w:rsidR="00ED1FB0" w:rsidRDefault="00ED1FB0">
    <w:pPr>
      <w:pStyle w:val="Sidhuvud"/>
    </w:pPr>
    <w:r>
      <w:rPr>
        <w:noProof/>
        <w:lang w:eastAsia="sv-SE"/>
      </w:rPr>
      <w:drawing>
        <wp:anchor distT="0" distB="0" distL="114300" distR="114300" simplePos="0" relativeHeight="251660288" behindDoc="0" locked="0" layoutInCell="1" allowOverlap="1" wp14:anchorId="45FF267F" wp14:editId="6874BD29">
          <wp:simplePos x="0" y="0"/>
          <wp:positionH relativeFrom="page">
            <wp:posOffset>0</wp:posOffset>
          </wp:positionH>
          <wp:positionV relativeFrom="page">
            <wp:posOffset>0</wp:posOffset>
          </wp:positionV>
          <wp:extent cx="7560000" cy="10699200"/>
          <wp:effectExtent l="0" t="0" r="3175" b="6985"/>
          <wp:wrapNone/>
          <wp:docPr id="6" name="Bildobjekt 6" descr="&quot; &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quot; &quo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9200"/>
                  </a:xfrm>
                  <a:prstGeom prst="rect">
                    <a:avLst/>
                  </a:prstGeom>
                  <a:solidFill>
                    <a:srgbClr val="307C8E"/>
                  </a:solid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8010" w14:textId="291841EE" w:rsidR="000678BA" w:rsidRDefault="000678BA">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1F22" w14:textId="22A61311" w:rsidR="0089154D" w:rsidRDefault="0089154D" w:rsidP="00221A8E">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57B6" w14:textId="1AB83D66" w:rsidR="0089154D" w:rsidRDefault="0089154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344"/>
    <w:multiLevelType w:val="hybridMultilevel"/>
    <w:tmpl w:val="78FCD4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298D1C"/>
    <w:multiLevelType w:val="hybridMultilevel"/>
    <w:tmpl w:val="064CF57A"/>
    <w:lvl w:ilvl="0" w:tplc="F206985C">
      <w:start w:val="1"/>
      <w:numFmt w:val="bullet"/>
      <w:lvlText w:val=""/>
      <w:lvlJc w:val="left"/>
      <w:pPr>
        <w:ind w:left="720" w:hanging="360"/>
      </w:pPr>
      <w:rPr>
        <w:rFonts w:ascii="Symbol" w:hAnsi="Symbol" w:hint="default"/>
      </w:rPr>
    </w:lvl>
    <w:lvl w:ilvl="1" w:tplc="9104C4A0">
      <w:start w:val="1"/>
      <w:numFmt w:val="bullet"/>
      <w:lvlText w:val="o"/>
      <w:lvlJc w:val="left"/>
      <w:pPr>
        <w:ind w:left="1440" w:hanging="360"/>
      </w:pPr>
      <w:rPr>
        <w:rFonts w:ascii="Courier New" w:hAnsi="Courier New" w:hint="default"/>
      </w:rPr>
    </w:lvl>
    <w:lvl w:ilvl="2" w:tplc="C172CEDA">
      <w:start w:val="1"/>
      <w:numFmt w:val="bullet"/>
      <w:lvlText w:val=""/>
      <w:lvlJc w:val="left"/>
      <w:pPr>
        <w:ind w:left="2160" w:hanging="360"/>
      </w:pPr>
      <w:rPr>
        <w:rFonts w:ascii="Wingdings" w:hAnsi="Wingdings" w:hint="default"/>
      </w:rPr>
    </w:lvl>
    <w:lvl w:ilvl="3" w:tplc="02D40000">
      <w:start w:val="1"/>
      <w:numFmt w:val="bullet"/>
      <w:lvlText w:val=""/>
      <w:lvlJc w:val="left"/>
      <w:pPr>
        <w:ind w:left="2880" w:hanging="360"/>
      </w:pPr>
      <w:rPr>
        <w:rFonts w:ascii="Symbol" w:hAnsi="Symbol" w:hint="default"/>
      </w:rPr>
    </w:lvl>
    <w:lvl w:ilvl="4" w:tplc="368860B4">
      <w:start w:val="1"/>
      <w:numFmt w:val="bullet"/>
      <w:lvlText w:val="o"/>
      <w:lvlJc w:val="left"/>
      <w:pPr>
        <w:ind w:left="3600" w:hanging="360"/>
      </w:pPr>
      <w:rPr>
        <w:rFonts w:ascii="Courier New" w:hAnsi="Courier New" w:hint="default"/>
      </w:rPr>
    </w:lvl>
    <w:lvl w:ilvl="5" w:tplc="3656CFB2">
      <w:start w:val="1"/>
      <w:numFmt w:val="bullet"/>
      <w:lvlText w:val=""/>
      <w:lvlJc w:val="left"/>
      <w:pPr>
        <w:ind w:left="4320" w:hanging="360"/>
      </w:pPr>
      <w:rPr>
        <w:rFonts w:ascii="Wingdings" w:hAnsi="Wingdings" w:hint="default"/>
      </w:rPr>
    </w:lvl>
    <w:lvl w:ilvl="6" w:tplc="65A6F860">
      <w:start w:val="1"/>
      <w:numFmt w:val="bullet"/>
      <w:lvlText w:val=""/>
      <w:lvlJc w:val="left"/>
      <w:pPr>
        <w:ind w:left="5040" w:hanging="360"/>
      </w:pPr>
      <w:rPr>
        <w:rFonts w:ascii="Symbol" w:hAnsi="Symbol" w:hint="default"/>
      </w:rPr>
    </w:lvl>
    <w:lvl w:ilvl="7" w:tplc="2A80E712">
      <w:start w:val="1"/>
      <w:numFmt w:val="bullet"/>
      <w:lvlText w:val="o"/>
      <w:lvlJc w:val="left"/>
      <w:pPr>
        <w:ind w:left="5760" w:hanging="360"/>
      </w:pPr>
      <w:rPr>
        <w:rFonts w:ascii="Courier New" w:hAnsi="Courier New" w:hint="default"/>
      </w:rPr>
    </w:lvl>
    <w:lvl w:ilvl="8" w:tplc="416A13FA">
      <w:start w:val="1"/>
      <w:numFmt w:val="bullet"/>
      <w:lvlText w:val=""/>
      <w:lvlJc w:val="left"/>
      <w:pPr>
        <w:ind w:left="6480" w:hanging="360"/>
      </w:pPr>
      <w:rPr>
        <w:rFonts w:ascii="Wingdings" w:hAnsi="Wingdings" w:hint="default"/>
      </w:rPr>
    </w:lvl>
  </w:abstractNum>
  <w:abstractNum w:abstractNumId="2" w15:restartNumberingAfterBreak="0">
    <w:nsid w:val="06692C8B"/>
    <w:multiLevelType w:val="hybridMultilevel"/>
    <w:tmpl w:val="0E8A44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9D2D9C"/>
    <w:multiLevelType w:val="hybridMultilevel"/>
    <w:tmpl w:val="FF002E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9A081C"/>
    <w:multiLevelType w:val="multilevel"/>
    <w:tmpl w:val="F94460C4"/>
    <w:styleLink w:val="listformat-tabellrubrik"/>
    <w:lvl w:ilvl="0">
      <w:start w:val="1"/>
      <w:numFmt w:val="decimal"/>
      <w:pStyle w:val="Tabell-rubrik"/>
      <w:suff w:val="space"/>
      <w:lvlText w:val="Tabel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45817CA"/>
    <w:multiLevelType w:val="multilevel"/>
    <w:tmpl w:val="199E44D8"/>
    <w:numStyleLink w:val="listformat-diagramrubrik"/>
  </w:abstractNum>
  <w:abstractNum w:abstractNumId="6" w15:restartNumberingAfterBreak="0">
    <w:nsid w:val="14CD2598"/>
    <w:multiLevelType w:val="hybridMultilevel"/>
    <w:tmpl w:val="E1D2CA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9902BD"/>
    <w:multiLevelType w:val="multilevel"/>
    <w:tmpl w:val="75D6F24E"/>
    <w:styleLink w:val="listformat-streck"/>
    <w:lvl w:ilvl="0">
      <w:start w:val="1"/>
      <w:numFmt w:val="bullet"/>
      <w:pStyle w:val="Strecklista"/>
      <w:lvlText w:val="–"/>
      <w:lvlJc w:val="left"/>
      <w:pPr>
        <w:ind w:left="360" w:hanging="360"/>
      </w:pPr>
      <w:rPr>
        <w:rFonts w:ascii="DagnyOT-Light" w:hAnsi="DagnyOT-Light"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1E7D95"/>
    <w:multiLevelType w:val="multilevel"/>
    <w:tmpl w:val="A31836CA"/>
    <w:styleLink w:val="listformat-rubriknumm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4A8780A"/>
    <w:multiLevelType w:val="hybridMultilevel"/>
    <w:tmpl w:val="0688F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D21DEF"/>
    <w:multiLevelType w:val="multilevel"/>
    <w:tmpl w:val="37E6C52E"/>
    <w:styleLink w:val="listformat-punkt"/>
    <w:lvl w:ilvl="0">
      <w:start w:val="1"/>
      <w:numFmt w:val="bullet"/>
      <w:pStyle w:val="Punktlista"/>
      <w:lvlText w:val=""/>
      <w:lvlJc w:val="left"/>
      <w:pPr>
        <w:tabs>
          <w:tab w:val="num" w:pos="360"/>
        </w:tabs>
        <w:ind w:left="357" w:hanging="357"/>
      </w:pPr>
      <w:rPr>
        <w:rFonts w:ascii="Symbol" w:hAnsi="Symbol" w:hint="default"/>
      </w:rPr>
    </w:lvl>
    <w:lvl w:ilvl="1">
      <w:start w:val="1"/>
      <w:numFmt w:val="bullet"/>
      <w:lvlText w:val="–"/>
      <w:lvlJc w:val="left"/>
      <w:pPr>
        <w:tabs>
          <w:tab w:val="num" w:pos="717"/>
        </w:tabs>
        <w:ind w:left="714" w:hanging="357"/>
      </w:pPr>
      <w:rPr>
        <w:rFonts w:ascii="DagnyOT-Light" w:hAnsi="DagnyOT-Light"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1" w15:restartNumberingAfterBreak="0">
    <w:nsid w:val="282B3467"/>
    <w:multiLevelType w:val="hybridMultilevel"/>
    <w:tmpl w:val="0C7A2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BD5BC0"/>
    <w:multiLevelType w:val="hybridMultilevel"/>
    <w:tmpl w:val="4164F2D0"/>
    <w:lvl w:ilvl="0" w:tplc="041D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4F22D3"/>
    <w:multiLevelType w:val="multilevel"/>
    <w:tmpl w:val="71D2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74369C"/>
    <w:multiLevelType w:val="multilevel"/>
    <w:tmpl w:val="5E2A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7D1F29"/>
    <w:multiLevelType w:val="hybridMultilevel"/>
    <w:tmpl w:val="31469E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CA8245A"/>
    <w:multiLevelType w:val="hybridMultilevel"/>
    <w:tmpl w:val="FFFFFFFF"/>
    <w:lvl w:ilvl="0" w:tplc="3F482B02">
      <w:start w:val="1"/>
      <w:numFmt w:val="bullet"/>
      <w:lvlText w:val=""/>
      <w:lvlJc w:val="left"/>
      <w:pPr>
        <w:ind w:left="720" w:hanging="360"/>
      </w:pPr>
      <w:rPr>
        <w:rFonts w:ascii="Symbol" w:hAnsi="Symbol" w:hint="default"/>
      </w:rPr>
    </w:lvl>
    <w:lvl w:ilvl="1" w:tplc="69DECBF4">
      <w:start w:val="1"/>
      <w:numFmt w:val="bullet"/>
      <w:lvlText w:val="o"/>
      <w:lvlJc w:val="left"/>
      <w:pPr>
        <w:ind w:left="1440" w:hanging="360"/>
      </w:pPr>
      <w:rPr>
        <w:rFonts w:ascii="Courier New" w:hAnsi="Courier New" w:hint="default"/>
      </w:rPr>
    </w:lvl>
    <w:lvl w:ilvl="2" w:tplc="F62C8E10">
      <w:start w:val="1"/>
      <w:numFmt w:val="bullet"/>
      <w:lvlText w:val=""/>
      <w:lvlJc w:val="left"/>
      <w:pPr>
        <w:ind w:left="2160" w:hanging="360"/>
      </w:pPr>
      <w:rPr>
        <w:rFonts w:ascii="Wingdings" w:hAnsi="Wingdings" w:hint="default"/>
      </w:rPr>
    </w:lvl>
    <w:lvl w:ilvl="3" w:tplc="60BA1A5A">
      <w:start w:val="1"/>
      <w:numFmt w:val="bullet"/>
      <w:lvlText w:val=""/>
      <w:lvlJc w:val="left"/>
      <w:pPr>
        <w:ind w:left="2880" w:hanging="360"/>
      </w:pPr>
      <w:rPr>
        <w:rFonts w:ascii="Symbol" w:hAnsi="Symbol" w:hint="default"/>
      </w:rPr>
    </w:lvl>
    <w:lvl w:ilvl="4" w:tplc="2E4A4DE0">
      <w:start w:val="1"/>
      <w:numFmt w:val="bullet"/>
      <w:lvlText w:val="o"/>
      <w:lvlJc w:val="left"/>
      <w:pPr>
        <w:ind w:left="3600" w:hanging="360"/>
      </w:pPr>
      <w:rPr>
        <w:rFonts w:ascii="Courier New" w:hAnsi="Courier New" w:hint="default"/>
      </w:rPr>
    </w:lvl>
    <w:lvl w:ilvl="5" w:tplc="14648676">
      <w:start w:val="1"/>
      <w:numFmt w:val="bullet"/>
      <w:lvlText w:val=""/>
      <w:lvlJc w:val="left"/>
      <w:pPr>
        <w:ind w:left="4320" w:hanging="360"/>
      </w:pPr>
      <w:rPr>
        <w:rFonts w:ascii="Wingdings" w:hAnsi="Wingdings" w:hint="default"/>
      </w:rPr>
    </w:lvl>
    <w:lvl w:ilvl="6" w:tplc="F97EE818">
      <w:start w:val="1"/>
      <w:numFmt w:val="bullet"/>
      <w:lvlText w:val=""/>
      <w:lvlJc w:val="left"/>
      <w:pPr>
        <w:ind w:left="5040" w:hanging="360"/>
      </w:pPr>
      <w:rPr>
        <w:rFonts w:ascii="Symbol" w:hAnsi="Symbol" w:hint="default"/>
      </w:rPr>
    </w:lvl>
    <w:lvl w:ilvl="7" w:tplc="693C788C">
      <w:start w:val="1"/>
      <w:numFmt w:val="bullet"/>
      <w:lvlText w:val="o"/>
      <w:lvlJc w:val="left"/>
      <w:pPr>
        <w:ind w:left="5760" w:hanging="360"/>
      </w:pPr>
      <w:rPr>
        <w:rFonts w:ascii="Courier New" w:hAnsi="Courier New" w:hint="default"/>
      </w:rPr>
    </w:lvl>
    <w:lvl w:ilvl="8" w:tplc="0C36B0DA">
      <w:start w:val="1"/>
      <w:numFmt w:val="bullet"/>
      <w:lvlText w:val=""/>
      <w:lvlJc w:val="left"/>
      <w:pPr>
        <w:ind w:left="6480" w:hanging="360"/>
      </w:pPr>
      <w:rPr>
        <w:rFonts w:ascii="Wingdings" w:hAnsi="Wingdings" w:hint="default"/>
      </w:rPr>
    </w:lvl>
  </w:abstractNum>
  <w:abstractNum w:abstractNumId="17" w15:restartNumberingAfterBreak="0">
    <w:nsid w:val="2FE071EB"/>
    <w:multiLevelType w:val="multilevel"/>
    <w:tmpl w:val="199E44D8"/>
    <w:styleLink w:val="listformat-diagramrubrik"/>
    <w:lvl w:ilvl="0">
      <w:start w:val="1"/>
      <w:numFmt w:val="decimal"/>
      <w:pStyle w:val="Diagramrubrik"/>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5C80950"/>
    <w:multiLevelType w:val="hybridMultilevel"/>
    <w:tmpl w:val="F9C466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1B704F"/>
    <w:multiLevelType w:val="multilevel"/>
    <w:tmpl w:val="025AAE9C"/>
    <w:styleLink w:val="listformat-numrerad"/>
    <w:lvl w:ilvl="0">
      <w:start w:val="1"/>
      <w:numFmt w:val="decimal"/>
      <w:pStyle w:val="Numreradlista"/>
      <w:lvlText w:val="%1."/>
      <w:lvlJc w:val="left"/>
      <w:pPr>
        <w:tabs>
          <w:tab w:val="num" w:pos="360"/>
        </w:tabs>
        <w:ind w:left="357" w:hanging="357"/>
      </w:pPr>
      <w:rPr>
        <w:rFonts w:hint="default"/>
      </w:rPr>
    </w:lvl>
    <w:lvl w:ilvl="1">
      <w:start w:val="1"/>
      <w:numFmt w:val="lowerLetter"/>
      <w:lvlText w:val="%2."/>
      <w:lvlJc w:val="left"/>
      <w:pPr>
        <w:tabs>
          <w:tab w:val="num" w:pos="717"/>
        </w:tabs>
        <w:ind w:left="714" w:hanging="357"/>
      </w:pPr>
      <w:rPr>
        <w:rFonts w:hint="default"/>
      </w:rPr>
    </w:lvl>
    <w:lvl w:ilvl="2">
      <w:start w:val="1"/>
      <w:numFmt w:val="lowerRoman"/>
      <w:lvlText w:val="%3."/>
      <w:lvlJc w:val="left"/>
      <w:pPr>
        <w:tabs>
          <w:tab w:val="num" w:pos="1074"/>
        </w:tabs>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20" w15:restartNumberingAfterBreak="0">
    <w:nsid w:val="373951DC"/>
    <w:multiLevelType w:val="hybridMultilevel"/>
    <w:tmpl w:val="7BD288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C164591"/>
    <w:multiLevelType w:val="hybridMultilevel"/>
    <w:tmpl w:val="0F1045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D3E2BC6"/>
    <w:multiLevelType w:val="multilevel"/>
    <w:tmpl w:val="315A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6D5002"/>
    <w:multiLevelType w:val="hybridMultilevel"/>
    <w:tmpl w:val="559E23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FB12996"/>
    <w:multiLevelType w:val="hybridMultilevel"/>
    <w:tmpl w:val="5782B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961573A"/>
    <w:multiLevelType w:val="hybridMultilevel"/>
    <w:tmpl w:val="DF7051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FA2010"/>
    <w:multiLevelType w:val="hybridMultilevel"/>
    <w:tmpl w:val="6D6E6EBA"/>
    <w:lvl w:ilvl="0" w:tplc="3924A072">
      <w:start w:val="1"/>
      <w:numFmt w:val="bullet"/>
      <w:lvlText w:val="•"/>
      <w:lvlJc w:val="left"/>
      <w:pPr>
        <w:tabs>
          <w:tab w:val="num" w:pos="720"/>
        </w:tabs>
        <w:ind w:left="720" w:hanging="360"/>
      </w:pPr>
      <w:rPr>
        <w:rFonts w:ascii="Arial" w:hAnsi="Arial" w:hint="default"/>
      </w:rPr>
    </w:lvl>
    <w:lvl w:ilvl="1" w:tplc="CC846164" w:tentative="1">
      <w:start w:val="1"/>
      <w:numFmt w:val="bullet"/>
      <w:lvlText w:val="•"/>
      <w:lvlJc w:val="left"/>
      <w:pPr>
        <w:tabs>
          <w:tab w:val="num" w:pos="1440"/>
        </w:tabs>
        <w:ind w:left="1440" w:hanging="360"/>
      </w:pPr>
      <w:rPr>
        <w:rFonts w:ascii="Arial" w:hAnsi="Arial" w:hint="default"/>
      </w:rPr>
    </w:lvl>
    <w:lvl w:ilvl="2" w:tplc="99A4964C" w:tentative="1">
      <w:start w:val="1"/>
      <w:numFmt w:val="bullet"/>
      <w:lvlText w:val="•"/>
      <w:lvlJc w:val="left"/>
      <w:pPr>
        <w:tabs>
          <w:tab w:val="num" w:pos="2160"/>
        </w:tabs>
        <w:ind w:left="2160" w:hanging="360"/>
      </w:pPr>
      <w:rPr>
        <w:rFonts w:ascii="Arial" w:hAnsi="Arial" w:hint="default"/>
      </w:rPr>
    </w:lvl>
    <w:lvl w:ilvl="3" w:tplc="68F2A5B8" w:tentative="1">
      <w:start w:val="1"/>
      <w:numFmt w:val="bullet"/>
      <w:lvlText w:val="•"/>
      <w:lvlJc w:val="left"/>
      <w:pPr>
        <w:tabs>
          <w:tab w:val="num" w:pos="2880"/>
        </w:tabs>
        <w:ind w:left="2880" w:hanging="360"/>
      </w:pPr>
      <w:rPr>
        <w:rFonts w:ascii="Arial" w:hAnsi="Arial" w:hint="default"/>
      </w:rPr>
    </w:lvl>
    <w:lvl w:ilvl="4" w:tplc="2AC40152" w:tentative="1">
      <w:start w:val="1"/>
      <w:numFmt w:val="bullet"/>
      <w:lvlText w:val="•"/>
      <w:lvlJc w:val="left"/>
      <w:pPr>
        <w:tabs>
          <w:tab w:val="num" w:pos="3600"/>
        </w:tabs>
        <w:ind w:left="3600" w:hanging="360"/>
      </w:pPr>
      <w:rPr>
        <w:rFonts w:ascii="Arial" w:hAnsi="Arial" w:hint="default"/>
      </w:rPr>
    </w:lvl>
    <w:lvl w:ilvl="5" w:tplc="F5623608" w:tentative="1">
      <w:start w:val="1"/>
      <w:numFmt w:val="bullet"/>
      <w:lvlText w:val="•"/>
      <w:lvlJc w:val="left"/>
      <w:pPr>
        <w:tabs>
          <w:tab w:val="num" w:pos="4320"/>
        </w:tabs>
        <w:ind w:left="4320" w:hanging="360"/>
      </w:pPr>
      <w:rPr>
        <w:rFonts w:ascii="Arial" w:hAnsi="Arial" w:hint="default"/>
      </w:rPr>
    </w:lvl>
    <w:lvl w:ilvl="6" w:tplc="208E4058" w:tentative="1">
      <w:start w:val="1"/>
      <w:numFmt w:val="bullet"/>
      <w:lvlText w:val="•"/>
      <w:lvlJc w:val="left"/>
      <w:pPr>
        <w:tabs>
          <w:tab w:val="num" w:pos="5040"/>
        </w:tabs>
        <w:ind w:left="5040" w:hanging="360"/>
      </w:pPr>
      <w:rPr>
        <w:rFonts w:ascii="Arial" w:hAnsi="Arial" w:hint="default"/>
      </w:rPr>
    </w:lvl>
    <w:lvl w:ilvl="7" w:tplc="E5A0C468" w:tentative="1">
      <w:start w:val="1"/>
      <w:numFmt w:val="bullet"/>
      <w:lvlText w:val="•"/>
      <w:lvlJc w:val="left"/>
      <w:pPr>
        <w:tabs>
          <w:tab w:val="num" w:pos="5760"/>
        </w:tabs>
        <w:ind w:left="5760" w:hanging="360"/>
      </w:pPr>
      <w:rPr>
        <w:rFonts w:ascii="Arial" w:hAnsi="Arial" w:hint="default"/>
      </w:rPr>
    </w:lvl>
    <w:lvl w:ilvl="8" w:tplc="58DC4A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82523E"/>
    <w:multiLevelType w:val="hybridMultilevel"/>
    <w:tmpl w:val="B67E7D28"/>
    <w:lvl w:ilvl="0" w:tplc="FFFFFFFF">
      <w:start w:val="1"/>
      <w:numFmt w:val="decimal"/>
      <w:lvlText w:val="%1."/>
      <w:lvlJc w:val="left"/>
      <w:pPr>
        <w:ind w:left="720" w:hanging="360"/>
      </w:pPr>
    </w:lvl>
    <w:lvl w:ilvl="1" w:tplc="041D0005">
      <w:start w:val="1"/>
      <w:numFmt w:val="bullet"/>
      <w:lvlText w:val=""/>
      <w:lvlJc w:val="left"/>
      <w:pPr>
        <w:ind w:left="72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4E7F67"/>
    <w:multiLevelType w:val="multilevel"/>
    <w:tmpl w:val="F94460C4"/>
    <w:numStyleLink w:val="listformat-tabellrubrik"/>
  </w:abstractNum>
  <w:abstractNum w:abstractNumId="29" w15:restartNumberingAfterBreak="0">
    <w:nsid w:val="5A146B51"/>
    <w:multiLevelType w:val="hybridMultilevel"/>
    <w:tmpl w:val="23A86116"/>
    <w:lvl w:ilvl="0" w:tplc="041D0001">
      <w:start w:val="1"/>
      <w:numFmt w:val="bullet"/>
      <w:lvlText w:val=""/>
      <w:lvlJc w:val="left"/>
      <w:pPr>
        <w:ind w:left="360" w:hanging="360"/>
      </w:pPr>
      <w:rPr>
        <w:rFonts w:ascii="Symbol" w:hAnsi="Symbol"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5B3A00A2"/>
    <w:multiLevelType w:val="multilevel"/>
    <w:tmpl w:val="EE28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107362"/>
    <w:multiLevelType w:val="multilevel"/>
    <w:tmpl w:val="041D0025"/>
    <w:lvl w:ilvl="0">
      <w:start w:val="1"/>
      <w:numFmt w:val="decimal"/>
      <w:lvlText w:val="%1"/>
      <w:lvlJc w:val="left"/>
      <w:pPr>
        <w:ind w:left="432" w:hanging="432"/>
      </w:pPr>
    </w:lvl>
    <w:lvl w:ilvl="1">
      <w:start w:val="1"/>
      <w:numFmt w:val="decimal"/>
      <w:lvlText w:val="%1.%2"/>
      <w:lvlJc w:val="left"/>
      <w:pPr>
        <w:ind w:left="35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B8A5CDB"/>
    <w:multiLevelType w:val="multilevel"/>
    <w:tmpl w:val="3070A71A"/>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8330209"/>
    <w:multiLevelType w:val="hybridMultilevel"/>
    <w:tmpl w:val="975E83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EC77A01"/>
    <w:multiLevelType w:val="multilevel"/>
    <w:tmpl w:val="AE8C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3818429">
    <w:abstractNumId w:val="1"/>
  </w:num>
  <w:num w:numId="2" w16cid:durableId="61567667">
    <w:abstractNumId w:val="32"/>
  </w:num>
  <w:num w:numId="3" w16cid:durableId="247734310">
    <w:abstractNumId w:val="32"/>
  </w:num>
  <w:num w:numId="4" w16cid:durableId="138037622">
    <w:abstractNumId w:val="17"/>
  </w:num>
  <w:num w:numId="5" w16cid:durableId="128019183">
    <w:abstractNumId w:val="19"/>
  </w:num>
  <w:num w:numId="6" w16cid:durableId="725833643">
    <w:abstractNumId w:val="10"/>
  </w:num>
  <w:num w:numId="7" w16cid:durableId="8798172">
    <w:abstractNumId w:val="8"/>
  </w:num>
  <w:num w:numId="8" w16cid:durableId="327907579">
    <w:abstractNumId w:val="7"/>
  </w:num>
  <w:num w:numId="9" w16cid:durableId="2117559024">
    <w:abstractNumId w:val="4"/>
  </w:num>
  <w:num w:numId="10" w16cid:durableId="1587229000">
    <w:abstractNumId w:val="19"/>
  </w:num>
  <w:num w:numId="11" w16cid:durableId="1158152928">
    <w:abstractNumId w:val="10"/>
  </w:num>
  <w:num w:numId="12" w16cid:durableId="1302728403">
    <w:abstractNumId w:val="8"/>
  </w:num>
  <w:num w:numId="13" w16cid:durableId="1789740427">
    <w:abstractNumId w:val="7"/>
  </w:num>
  <w:num w:numId="14" w16cid:durableId="689184421">
    <w:abstractNumId w:val="28"/>
  </w:num>
  <w:num w:numId="15" w16cid:durableId="1730375847">
    <w:abstractNumId w:val="5"/>
  </w:num>
  <w:num w:numId="16" w16cid:durableId="1601716634">
    <w:abstractNumId w:val="26"/>
  </w:num>
  <w:num w:numId="17" w16cid:durableId="546992337">
    <w:abstractNumId w:val="25"/>
  </w:num>
  <w:num w:numId="18" w16cid:durableId="1333603995">
    <w:abstractNumId w:val="11"/>
  </w:num>
  <w:num w:numId="19" w16cid:durableId="2118207943">
    <w:abstractNumId w:val="3"/>
  </w:num>
  <w:num w:numId="20" w16cid:durableId="1793551535">
    <w:abstractNumId w:val="34"/>
  </w:num>
  <w:num w:numId="21" w16cid:durableId="863129736">
    <w:abstractNumId w:val="24"/>
  </w:num>
  <w:num w:numId="22" w16cid:durableId="1835026132">
    <w:abstractNumId w:val="13"/>
  </w:num>
  <w:num w:numId="23" w16cid:durableId="1802575672">
    <w:abstractNumId w:val="14"/>
  </w:num>
  <w:num w:numId="24" w16cid:durableId="241381338">
    <w:abstractNumId w:val="2"/>
  </w:num>
  <w:num w:numId="25" w16cid:durableId="143476907">
    <w:abstractNumId w:val="22"/>
  </w:num>
  <w:num w:numId="26" w16cid:durableId="1554926959">
    <w:abstractNumId w:val="30"/>
  </w:num>
  <w:num w:numId="27" w16cid:durableId="355497200">
    <w:abstractNumId w:val="16"/>
  </w:num>
  <w:num w:numId="28" w16cid:durableId="1086533922">
    <w:abstractNumId w:val="18"/>
  </w:num>
  <w:num w:numId="29" w16cid:durableId="829640248">
    <w:abstractNumId w:val="9"/>
  </w:num>
  <w:num w:numId="30" w16cid:durableId="78985150">
    <w:abstractNumId w:val="0"/>
  </w:num>
  <w:num w:numId="31" w16cid:durableId="1517306309">
    <w:abstractNumId w:val="15"/>
  </w:num>
  <w:num w:numId="32" w16cid:durableId="1850827909">
    <w:abstractNumId w:val="20"/>
  </w:num>
  <w:num w:numId="33" w16cid:durableId="1207832579">
    <w:abstractNumId w:val="31"/>
  </w:num>
  <w:num w:numId="34" w16cid:durableId="1591425230">
    <w:abstractNumId w:val="33"/>
  </w:num>
  <w:num w:numId="35" w16cid:durableId="243614805">
    <w:abstractNumId w:val="23"/>
  </w:num>
  <w:num w:numId="36" w16cid:durableId="965936829">
    <w:abstractNumId w:val="21"/>
  </w:num>
  <w:num w:numId="37" w16cid:durableId="1500775596">
    <w:abstractNumId w:val="29"/>
  </w:num>
  <w:num w:numId="38" w16cid:durableId="1218470166">
    <w:abstractNumId w:val="27"/>
  </w:num>
  <w:num w:numId="39" w16cid:durableId="252709455">
    <w:abstractNumId w:val="12"/>
  </w:num>
  <w:num w:numId="40" w16cid:durableId="148138355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D43"/>
    <w:rsid w:val="00001753"/>
    <w:rsid w:val="00003203"/>
    <w:rsid w:val="000033C1"/>
    <w:rsid w:val="000040E4"/>
    <w:rsid w:val="000067C9"/>
    <w:rsid w:val="00007451"/>
    <w:rsid w:val="000147C8"/>
    <w:rsid w:val="00014A81"/>
    <w:rsid w:val="00016907"/>
    <w:rsid w:val="000206C7"/>
    <w:rsid w:val="0002173D"/>
    <w:rsid w:val="00023C57"/>
    <w:rsid w:val="00027439"/>
    <w:rsid w:val="00030181"/>
    <w:rsid w:val="00031C1D"/>
    <w:rsid w:val="0003279A"/>
    <w:rsid w:val="00035D7B"/>
    <w:rsid w:val="000372C6"/>
    <w:rsid w:val="00045296"/>
    <w:rsid w:val="00047369"/>
    <w:rsid w:val="0005518A"/>
    <w:rsid w:val="00055639"/>
    <w:rsid w:val="00057866"/>
    <w:rsid w:val="000616DB"/>
    <w:rsid w:val="0006486A"/>
    <w:rsid w:val="000678BA"/>
    <w:rsid w:val="00071F88"/>
    <w:rsid w:val="00072196"/>
    <w:rsid w:val="00072EA0"/>
    <w:rsid w:val="00073435"/>
    <w:rsid w:val="00073F78"/>
    <w:rsid w:val="00074AA2"/>
    <w:rsid w:val="00076475"/>
    <w:rsid w:val="00081E9C"/>
    <w:rsid w:val="00081EC3"/>
    <w:rsid w:val="000847BA"/>
    <w:rsid w:val="0008612F"/>
    <w:rsid w:val="0009471D"/>
    <w:rsid w:val="00096492"/>
    <w:rsid w:val="00096E07"/>
    <w:rsid w:val="0009C1A1"/>
    <w:rsid w:val="000A1174"/>
    <w:rsid w:val="000A6952"/>
    <w:rsid w:val="000A6E4A"/>
    <w:rsid w:val="000A75BA"/>
    <w:rsid w:val="000B1405"/>
    <w:rsid w:val="000B17DA"/>
    <w:rsid w:val="000B5050"/>
    <w:rsid w:val="000B59D6"/>
    <w:rsid w:val="000B64F4"/>
    <w:rsid w:val="000C050B"/>
    <w:rsid w:val="000C05B8"/>
    <w:rsid w:val="000C0C35"/>
    <w:rsid w:val="000C0FA3"/>
    <w:rsid w:val="000C1E89"/>
    <w:rsid w:val="000C2CE9"/>
    <w:rsid w:val="000C52FA"/>
    <w:rsid w:val="000C73B9"/>
    <w:rsid w:val="000C73C5"/>
    <w:rsid w:val="000D0474"/>
    <w:rsid w:val="000D242A"/>
    <w:rsid w:val="000D6C0D"/>
    <w:rsid w:val="000D7C32"/>
    <w:rsid w:val="000D9D7F"/>
    <w:rsid w:val="000E096F"/>
    <w:rsid w:val="000E0BFC"/>
    <w:rsid w:val="000E2A09"/>
    <w:rsid w:val="000E47A4"/>
    <w:rsid w:val="000E5BBB"/>
    <w:rsid w:val="000E6B1E"/>
    <w:rsid w:val="000F0AF6"/>
    <w:rsid w:val="000F17D9"/>
    <w:rsid w:val="000F1F97"/>
    <w:rsid w:val="000F214B"/>
    <w:rsid w:val="000F6418"/>
    <w:rsid w:val="000F73F1"/>
    <w:rsid w:val="000F7E1C"/>
    <w:rsid w:val="00100B38"/>
    <w:rsid w:val="00100BE5"/>
    <w:rsid w:val="00107BF7"/>
    <w:rsid w:val="001104A7"/>
    <w:rsid w:val="00111780"/>
    <w:rsid w:val="00112488"/>
    <w:rsid w:val="00112810"/>
    <w:rsid w:val="001139C6"/>
    <w:rsid w:val="00120317"/>
    <w:rsid w:val="0012121A"/>
    <w:rsid w:val="00121289"/>
    <w:rsid w:val="00121FFB"/>
    <w:rsid w:val="001236BD"/>
    <w:rsid w:val="001248EB"/>
    <w:rsid w:val="0013202E"/>
    <w:rsid w:val="0013284B"/>
    <w:rsid w:val="00132D3B"/>
    <w:rsid w:val="001340CE"/>
    <w:rsid w:val="00137CF0"/>
    <w:rsid w:val="001423EA"/>
    <w:rsid w:val="001433F5"/>
    <w:rsid w:val="0014376A"/>
    <w:rsid w:val="00144926"/>
    <w:rsid w:val="00145FCA"/>
    <w:rsid w:val="00147C71"/>
    <w:rsid w:val="00151B9C"/>
    <w:rsid w:val="00151F35"/>
    <w:rsid w:val="00153B86"/>
    <w:rsid w:val="00153CD7"/>
    <w:rsid w:val="00154FB7"/>
    <w:rsid w:val="0015645F"/>
    <w:rsid w:val="001624F7"/>
    <w:rsid w:val="00165984"/>
    <w:rsid w:val="0016A817"/>
    <w:rsid w:val="0017070B"/>
    <w:rsid w:val="00170D10"/>
    <w:rsid w:val="00174F11"/>
    <w:rsid w:val="0017536F"/>
    <w:rsid w:val="001761FA"/>
    <w:rsid w:val="00176319"/>
    <w:rsid w:val="0018014A"/>
    <w:rsid w:val="001805E4"/>
    <w:rsid w:val="001810FD"/>
    <w:rsid w:val="001811A6"/>
    <w:rsid w:val="00182455"/>
    <w:rsid w:val="00184B0B"/>
    <w:rsid w:val="0018593A"/>
    <w:rsid w:val="00186B67"/>
    <w:rsid w:val="00193AF6"/>
    <w:rsid w:val="00197267"/>
    <w:rsid w:val="001A015B"/>
    <w:rsid w:val="001A3C6D"/>
    <w:rsid w:val="001A3FEA"/>
    <w:rsid w:val="001A5F05"/>
    <w:rsid w:val="001A76B9"/>
    <w:rsid w:val="001A777E"/>
    <w:rsid w:val="001B07B2"/>
    <w:rsid w:val="001B187D"/>
    <w:rsid w:val="001B5C8B"/>
    <w:rsid w:val="001C09D4"/>
    <w:rsid w:val="001C1904"/>
    <w:rsid w:val="001C4B61"/>
    <w:rsid w:val="001C4BFA"/>
    <w:rsid w:val="001C6A36"/>
    <w:rsid w:val="001C7017"/>
    <w:rsid w:val="001C75A8"/>
    <w:rsid w:val="001C76FC"/>
    <w:rsid w:val="001D0036"/>
    <w:rsid w:val="001D1106"/>
    <w:rsid w:val="001D3E19"/>
    <w:rsid w:val="001D4709"/>
    <w:rsid w:val="001D4C63"/>
    <w:rsid w:val="001D4D58"/>
    <w:rsid w:val="001D4F17"/>
    <w:rsid w:val="001D51B6"/>
    <w:rsid w:val="001D619D"/>
    <w:rsid w:val="001E2BC9"/>
    <w:rsid w:val="001E2DF1"/>
    <w:rsid w:val="001E2EEA"/>
    <w:rsid w:val="001E3A9A"/>
    <w:rsid w:val="001E4D02"/>
    <w:rsid w:val="001E792B"/>
    <w:rsid w:val="001F20D8"/>
    <w:rsid w:val="001F265D"/>
    <w:rsid w:val="001F48EA"/>
    <w:rsid w:val="001F57D4"/>
    <w:rsid w:val="002000BE"/>
    <w:rsid w:val="002005F1"/>
    <w:rsid w:val="00203427"/>
    <w:rsid w:val="0020746A"/>
    <w:rsid w:val="00207EE1"/>
    <w:rsid w:val="00210107"/>
    <w:rsid w:val="002112E5"/>
    <w:rsid w:val="00212214"/>
    <w:rsid w:val="00212CA7"/>
    <w:rsid w:val="002131CF"/>
    <w:rsid w:val="0021448A"/>
    <w:rsid w:val="00215E4A"/>
    <w:rsid w:val="002200B4"/>
    <w:rsid w:val="00221A8E"/>
    <w:rsid w:val="00222284"/>
    <w:rsid w:val="00223F9C"/>
    <w:rsid w:val="0022584B"/>
    <w:rsid w:val="00226AF5"/>
    <w:rsid w:val="00226F8C"/>
    <w:rsid w:val="00227317"/>
    <w:rsid w:val="00227A28"/>
    <w:rsid w:val="00232B8B"/>
    <w:rsid w:val="002338A3"/>
    <w:rsid w:val="00234C40"/>
    <w:rsid w:val="00236AEF"/>
    <w:rsid w:val="002409C2"/>
    <w:rsid w:val="002432D5"/>
    <w:rsid w:val="002443C5"/>
    <w:rsid w:val="002458AF"/>
    <w:rsid w:val="002474BA"/>
    <w:rsid w:val="0025016B"/>
    <w:rsid w:val="00250FC5"/>
    <w:rsid w:val="002527CC"/>
    <w:rsid w:val="002528A3"/>
    <w:rsid w:val="00256054"/>
    <w:rsid w:val="002566F1"/>
    <w:rsid w:val="00256D0C"/>
    <w:rsid w:val="00257165"/>
    <w:rsid w:val="00257A67"/>
    <w:rsid w:val="00257C79"/>
    <w:rsid w:val="00260D8A"/>
    <w:rsid w:val="002613C7"/>
    <w:rsid w:val="00265E09"/>
    <w:rsid w:val="00271FB1"/>
    <w:rsid w:val="00273785"/>
    <w:rsid w:val="00274FAB"/>
    <w:rsid w:val="00284263"/>
    <w:rsid w:val="00284724"/>
    <w:rsid w:val="00285DE9"/>
    <w:rsid w:val="00286ABA"/>
    <w:rsid w:val="00291A16"/>
    <w:rsid w:val="00293CA9"/>
    <w:rsid w:val="00294484"/>
    <w:rsid w:val="0029725E"/>
    <w:rsid w:val="00297AE6"/>
    <w:rsid w:val="00297EE6"/>
    <w:rsid w:val="002A1E41"/>
    <w:rsid w:val="002A3814"/>
    <w:rsid w:val="002B1306"/>
    <w:rsid w:val="002B16AE"/>
    <w:rsid w:val="002B2714"/>
    <w:rsid w:val="002B48C3"/>
    <w:rsid w:val="002B6B31"/>
    <w:rsid w:val="002C2B5F"/>
    <w:rsid w:val="002C356A"/>
    <w:rsid w:val="002C3CC3"/>
    <w:rsid w:val="002C43B1"/>
    <w:rsid w:val="002C5443"/>
    <w:rsid w:val="002C5683"/>
    <w:rsid w:val="002C5CE6"/>
    <w:rsid w:val="002D1FAF"/>
    <w:rsid w:val="002D315E"/>
    <w:rsid w:val="002D3861"/>
    <w:rsid w:val="002D459F"/>
    <w:rsid w:val="002D478E"/>
    <w:rsid w:val="002D5202"/>
    <w:rsid w:val="002D5802"/>
    <w:rsid w:val="002D7443"/>
    <w:rsid w:val="002E1143"/>
    <w:rsid w:val="002E1387"/>
    <w:rsid w:val="002E3592"/>
    <w:rsid w:val="002E67B4"/>
    <w:rsid w:val="002F045B"/>
    <w:rsid w:val="002F060D"/>
    <w:rsid w:val="002F1652"/>
    <w:rsid w:val="002F16BC"/>
    <w:rsid w:val="002F57BB"/>
    <w:rsid w:val="002F594E"/>
    <w:rsid w:val="0030190F"/>
    <w:rsid w:val="00305E6F"/>
    <w:rsid w:val="00311E90"/>
    <w:rsid w:val="00313C73"/>
    <w:rsid w:val="00314648"/>
    <w:rsid w:val="003251C8"/>
    <w:rsid w:val="00325E1F"/>
    <w:rsid w:val="003301FC"/>
    <w:rsid w:val="00330B09"/>
    <w:rsid w:val="00334D72"/>
    <w:rsid w:val="00336233"/>
    <w:rsid w:val="00337196"/>
    <w:rsid w:val="00341CFB"/>
    <w:rsid w:val="0034266B"/>
    <w:rsid w:val="00344445"/>
    <w:rsid w:val="003448F9"/>
    <w:rsid w:val="00347C15"/>
    <w:rsid w:val="00353D02"/>
    <w:rsid w:val="003540E3"/>
    <w:rsid w:val="00360135"/>
    <w:rsid w:val="00360C37"/>
    <w:rsid w:val="00361EBA"/>
    <w:rsid w:val="0036248C"/>
    <w:rsid w:val="003635D7"/>
    <w:rsid w:val="00366136"/>
    <w:rsid w:val="00367DB7"/>
    <w:rsid w:val="003720C3"/>
    <w:rsid w:val="00372486"/>
    <w:rsid w:val="00372A96"/>
    <w:rsid w:val="00374029"/>
    <w:rsid w:val="00375E08"/>
    <w:rsid w:val="003760D4"/>
    <w:rsid w:val="003801D5"/>
    <w:rsid w:val="00380EAA"/>
    <w:rsid w:val="003833DC"/>
    <w:rsid w:val="00386779"/>
    <w:rsid w:val="00391141"/>
    <w:rsid w:val="0039147E"/>
    <w:rsid w:val="003920AC"/>
    <w:rsid w:val="003928E0"/>
    <w:rsid w:val="003A0C5E"/>
    <w:rsid w:val="003A16C9"/>
    <w:rsid w:val="003A3477"/>
    <w:rsid w:val="003A3903"/>
    <w:rsid w:val="003A44CD"/>
    <w:rsid w:val="003B27B9"/>
    <w:rsid w:val="003B583E"/>
    <w:rsid w:val="003B6EC4"/>
    <w:rsid w:val="003C02EA"/>
    <w:rsid w:val="003C1F55"/>
    <w:rsid w:val="003C2AFA"/>
    <w:rsid w:val="003C2BD5"/>
    <w:rsid w:val="003C3F38"/>
    <w:rsid w:val="003C59D7"/>
    <w:rsid w:val="003C612E"/>
    <w:rsid w:val="003C6FDC"/>
    <w:rsid w:val="003C7AB2"/>
    <w:rsid w:val="003D14F0"/>
    <w:rsid w:val="003D1C2D"/>
    <w:rsid w:val="003D1E77"/>
    <w:rsid w:val="003D2770"/>
    <w:rsid w:val="003E170A"/>
    <w:rsid w:val="003E1DAA"/>
    <w:rsid w:val="003E1E9B"/>
    <w:rsid w:val="003E285F"/>
    <w:rsid w:val="003E46E1"/>
    <w:rsid w:val="003E4717"/>
    <w:rsid w:val="003E4DC6"/>
    <w:rsid w:val="003F0399"/>
    <w:rsid w:val="003F54FE"/>
    <w:rsid w:val="003F56B8"/>
    <w:rsid w:val="004019B2"/>
    <w:rsid w:val="004022EA"/>
    <w:rsid w:val="00402D46"/>
    <w:rsid w:val="00403091"/>
    <w:rsid w:val="0040341B"/>
    <w:rsid w:val="004034C5"/>
    <w:rsid w:val="00406F32"/>
    <w:rsid w:val="004075C1"/>
    <w:rsid w:val="00407FE1"/>
    <w:rsid w:val="00410C7C"/>
    <w:rsid w:val="00413C9E"/>
    <w:rsid w:val="00413CF8"/>
    <w:rsid w:val="00414874"/>
    <w:rsid w:val="0041538C"/>
    <w:rsid w:val="00415531"/>
    <w:rsid w:val="00415A59"/>
    <w:rsid w:val="00415F5E"/>
    <w:rsid w:val="00420756"/>
    <w:rsid w:val="00420CB4"/>
    <w:rsid w:val="004220EF"/>
    <w:rsid w:val="00422107"/>
    <w:rsid w:val="00423152"/>
    <w:rsid w:val="00424DCD"/>
    <w:rsid w:val="00425D43"/>
    <w:rsid w:val="004325B9"/>
    <w:rsid w:val="00432884"/>
    <w:rsid w:val="0043519F"/>
    <w:rsid w:val="004360B2"/>
    <w:rsid w:val="00437F7F"/>
    <w:rsid w:val="00441284"/>
    <w:rsid w:val="004415FA"/>
    <w:rsid w:val="00441B78"/>
    <w:rsid w:val="00441DC9"/>
    <w:rsid w:val="0044204C"/>
    <w:rsid w:val="00442F77"/>
    <w:rsid w:val="004432FB"/>
    <w:rsid w:val="004434E1"/>
    <w:rsid w:val="004439D4"/>
    <w:rsid w:val="00446101"/>
    <w:rsid w:val="00446F81"/>
    <w:rsid w:val="00447FA7"/>
    <w:rsid w:val="004503AA"/>
    <w:rsid w:val="00450A05"/>
    <w:rsid w:val="004512FB"/>
    <w:rsid w:val="00453DBA"/>
    <w:rsid w:val="004546D5"/>
    <w:rsid w:val="00456310"/>
    <w:rsid w:val="00456D9C"/>
    <w:rsid w:val="00457AF0"/>
    <w:rsid w:val="00463DD6"/>
    <w:rsid w:val="004654FD"/>
    <w:rsid w:val="004659B5"/>
    <w:rsid w:val="00465DE7"/>
    <w:rsid w:val="00466C49"/>
    <w:rsid w:val="00466D71"/>
    <w:rsid w:val="004707AB"/>
    <w:rsid w:val="004710A8"/>
    <w:rsid w:val="00471AAD"/>
    <w:rsid w:val="00471CEB"/>
    <w:rsid w:val="0047225A"/>
    <w:rsid w:val="00473A6E"/>
    <w:rsid w:val="00474128"/>
    <w:rsid w:val="00475E5B"/>
    <w:rsid w:val="004778D9"/>
    <w:rsid w:val="004822B7"/>
    <w:rsid w:val="00486254"/>
    <w:rsid w:val="00486A8C"/>
    <w:rsid w:val="00487E9F"/>
    <w:rsid w:val="00490A09"/>
    <w:rsid w:val="00492474"/>
    <w:rsid w:val="00492B79"/>
    <w:rsid w:val="0049379E"/>
    <w:rsid w:val="00496658"/>
    <w:rsid w:val="004A0386"/>
    <w:rsid w:val="004A305F"/>
    <w:rsid w:val="004A3AA8"/>
    <w:rsid w:val="004A3C86"/>
    <w:rsid w:val="004A4CE2"/>
    <w:rsid w:val="004A776D"/>
    <w:rsid w:val="004A7991"/>
    <w:rsid w:val="004B0CD6"/>
    <w:rsid w:val="004B146E"/>
    <w:rsid w:val="004B421C"/>
    <w:rsid w:val="004B42DA"/>
    <w:rsid w:val="004B5B9E"/>
    <w:rsid w:val="004C1960"/>
    <w:rsid w:val="004C4E59"/>
    <w:rsid w:val="004C4E6B"/>
    <w:rsid w:val="004C506F"/>
    <w:rsid w:val="004C5A6D"/>
    <w:rsid w:val="004C7818"/>
    <w:rsid w:val="004D1A05"/>
    <w:rsid w:val="004D44C2"/>
    <w:rsid w:val="004D471F"/>
    <w:rsid w:val="004D52B7"/>
    <w:rsid w:val="004D5D3C"/>
    <w:rsid w:val="004D6146"/>
    <w:rsid w:val="004E1F40"/>
    <w:rsid w:val="004E2FA4"/>
    <w:rsid w:val="004E4205"/>
    <w:rsid w:val="004E4E18"/>
    <w:rsid w:val="004E5140"/>
    <w:rsid w:val="004E531B"/>
    <w:rsid w:val="004E66D6"/>
    <w:rsid w:val="004F3ADB"/>
    <w:rsid w:val="004F6614"/>
    <w:rsid w:val="004F7EC4"/>
    <w:rsid w:val="0050264C"/>
    <w:rsid w:val="00502DDB"/>
    <w:rsid w:val="00504E6E"/>
    <w:rsid w:val="00511235"/>
    <w:rsid w:val="005119BA"/>
    <w:rsid w:val="00511F8B"/>
    <w:rsid w:val="00512F06"/>
    <w:rsid w:val="005155D1"/>
    <w:rsid w:val="00517FC1"/>
    <w:rsid w:val="00520AFA"/>
    <w:rsid w:val="0052166C"/>
    <w:rsid w:val="005233BF"/>
    <w:rsid w:val="005265F7"/>
    <w:rsid w:val="005306E1"/>
    <w:rsid w:val="005311CC"/>
    <w:rsid w:val="0053342B"/>
    <w:rsid w:val="00533A10"/>
    <w:rsid w:val="00533A57"/>
    <w:rsid w:val="00533DD8"/>
    <w:rsid w:val="005345CA"/>
    <w:rsid w:val="00535C7D"/>
    <w:rsid w:val="00536DAA"/>
    <w:rsid w:val="0054263B"/>
    <w:rsid w:val="00542B0B"/>
    <w:rsid w:val="00543F48"/>
    <w:rsid w:val="00550E7F"/>
    <w:rsid w:val="00550EBB"/>
    <w:rsid w:val="00551AC6"/>
    <w:rsid w:val="00552D3E"/>
    <w:rsid w:val="00552E73"/>
    <w:rsid w:val="00554BBF"/>
    <w:rsid w:val="00554FCE"/>
    <w:rsid w:val="00556998"/>
    <w:rsid w:val="005569A0"/>
    <w:rsid w:val="0056068C"/>
    <w:rsid w:val="00561A3A"/>
    <w:rsid w:val="005626F8"/>
    <w:rsid w:val="005627D0"/>
    <w:rsid w:val="0056395A"/>
    <w:rsid w:val="005675DD"/>
    <w:rsid w:val="005719D7"/>
    <w:rsid w:val="00574354"/>
    <w:rsid w:val="00575E32"/>
    <w:rsid w:val="00584226"/>
    <w:rsid w:val="0058443E"/>
    <w:rsid w:val="005852EE"/>
    <w:rsid w:val="0058698C"/>
    <w:rsid w:val="00586E62"/>
    <w:rsid w:val="00591527"/>
    <w:rsid w:val="00591CD6"/>
    <w:rsid w:val="005936F3"/>
    <w:rsid w:val="005952C0"/>
    <w:rsid w:val="00595888"/>
    <w:rsid w:val="00597E34"/>
    <w:rsid w:val="005A0780"/>
    <w:rsid w:val="005A095E"/>
    <w:rsid w:val="005A0A08"/>
    <w:rsid w:val="005A1D8C"/>
    <w:rsid w:val="005A21D2"/>
    <w:rsid w:val="005A537C"/>
    <w:rsid w:val="005A5503"/>
    <w:rsid w:val="005A5B22"/>
    <w:rsid w:val="005A7C2F"/>
    <w:rsid w:val="005B36E5"/>
    <w:rsid w:val="005B6887"/>
    <w:rsid w:val="005B70B6"/>
    <w:rsid w:val="005C2226"/>
    <w:rsid w:val="005C5330"/>
    <w:rsid w:val="005D149A"/>
    <w:rsid w:val="005D1A37"/>
    <w:rsid w:val="005D40FA"/>
    <w:rsid w:val="005D4184"/>
    <w:rsid w:val="005D6B2F"/>
    <w:rsid w:val="005E0F15"/>
    <w:rsid w:val="005E19E0"/>
    <w:rsid w:val="005E1D7E"/>
    <w:rsid w:val="005E4912"/>
    <w:rsid w:val="005E5328"/>
    <w:rsid w:val="005E66D9"/>
    <w:rsid w:val="005E740D"/>
    <w:rsid w:val="005F238B"/>
    <w:rsid w:val="005F3D68"/>
    <w:rsid w:val="005F5672"/>
    <w:rsid w:val="005F6061"/>
    <w:rsid w:val="005F6458"/>
    <w:rsid w:val="006006C7"/>
    <w:rsid w:val="00602119"/>
    <w:rsid w:val="006072ED"/>
    <w:rsid w:val="00607487"/>
    <w:rsid w:val="006103EE"/>
    <w:rsid w:val="0061279B"/>
    <w:rsid w:val="00612A78"/>
    <w:rsid w:val="00612C60"/>
    <w:rsid w:val="00613131"/>
    <w:rsid w:val="006147A9"/>
    <w:rsid w:val="00615B07"/>
    <w:rsid w:val="006201A4"/>
    <w:rsid w:val="00620328"/>
    <w:rsid w:val="00622327"/>
    <w:rsid w:val="006228F4"/>
    <w:rsid w:val="00622A4F"/>
    <w:rsid w:val="006232D1"/>
    <w:rsid w:val="00623664"/>
    <w:rsid w:val="00625743"/>
    <w:rsid w:val="006268B7"/>
    <w:rsid w:val="00632ADE"/>
    <w:rsid w:val="006336E8"/>
    <w:rsid w:val="006346BA"/>
    <w:rsid w:val="00634F01"/>
    <w:rsid w:val="00635DB9"/>
    <w:rsid w:val="006414DD"/>
    <w:rsid w:val="00641875"/>
    <w:rsid w:val="00641E5B"/>
    <w:rsid w:val="0064260B"/>
    <w:rsid w:val="0064283F"/>
    <w:rsid w:val="006446E9"/>
    <w:rsid w:val="00644BAE"/>
    <w:rsid w:val="00646647"/>
    <w:rsid w:val="00647FE6"/>
    <w:rsid w:val="006576F8"/>
    <w:rsid w:val="00657FD2"/>
    <w:rsid w:val="0066057D"/>
    <w:rsid w:val="00660D7A"/>
    <w:rsid w:val="00664818"/>
    <w:rsid w:val="00664B62"/>
    <w:rsid w:val="00670682"/>
    <w:rsid w:val="00670D80"/>
    <w:rsid w:val="00677F00"/>
    <w:rsid w:val="00682087"/>
    <w:rsid w:val="00682749"/>
    <w:rsid w:val="00682FFB"/>
    <w:rsid w:val="00685EB5"/>
    <w:rsid w:val="00687044"/>
    <w:rsid w:val="00687A9B"/>
    <w:rsid w:val="00691452"/>
    <w:rsid w:val="00691E0F"/>
    <w:rsid w:val="006927D8"/>
    <w:rsid w:val="006957B8"/>
    <w:rsid w:val="00695B95"/>
    <w:rsid w:val="00696237"/>
    <w:rsid w:val="00696832"/>
    <w:rsid w:val="00696B52"/>
    <w:rsid w:val="006B090D"/>
    <w:rsid w:val="006B0EBE"/>
    <w:rsid w:val="006B54AE"/>
    <w:rsid w:val="006B7E59"/>
    <w:rsid w:val="006C085B"/>
    <w:rsid w:val="006C0C9D"/>
    <w:rsid w:val="006C151C"/>
    <w:rsid w:val="006C1F63"/>
    <w:rsid w:val="006C5164"/>
    <w:rsid w:val="006C5662"/>
    <w:rsid w:val="006C5DCB"/>
    <w:rsid w:val="006C6C97"/>
    <w:rsid w:val="006D186D"/>
    <w:rsid w:val="006D2C35"/>
    <w:rsid w:val="006D3EE2"/>
    <w:rsid w:val="006D5092"/>
    <w:rsid w:val="006D641F"/>
    <w:rsid w:val="006E0562"/>
    <w:rsid w:val="006E1A9F"/>
    <w:rsid w:val="006E1E8F"/>
    <w:rsid w:val="006E3023"/>
    <w:rsid w:val="006E3025"/>
    <w:rsid w:val="006E6569"/>
    <w:rsid w:val="006E7DBA"/>
    <w:rsid w:val="006F31CE"/>
    <w:rsid w:val="006F33FB"/>
    <w:rsid w:val="006F5718"/>
    <w:rsid w:val="00700413"/>
    <w:rsid w:val="00704554"/>
    <w:rsid w:val="00706505"/>
    <w:rsid w:val="0070748B"/>
    <w:rsid w:val="007103D6"/>
    <w:rsid w:val="00710A04"/>
    <w:rsid w:val="00711B57"/>
    <w:rsid w:val="00711FF3"/>
    <w:rsid w:val="00714005"/>
    <w:rsid w:val="00714CBA"/>
    <w:rsid w:val="00716F44"/>
    <w:rsid w:val="0072094B"/>
    <w:rsid w:val="00720B76"/>
    <w:rsid w:val="00721369"/>
    <w:rsid w:val="00726E86"/>
    <w:rsid w:val="00733898"/>
    <w:rsid w:val="00733913"/>
    <w:rsid w:val="00734825"/>
    <w:rsid w:val="00734E42"/>
    <w:rsid w:val="00735DCC"/>
    <w:rsid w:val="007424E2"/>
    <w:rsid w:val="00742581"/>
    <w:rsid w:val="0074278F"/>
    <w:rsid w:val="0074647D"/>
    <w:rsid w:val="007465FF"/>
    <w:rsid w:val="00747402"/>
    <w:rsid w:val="00752EFD"/>
    <w:rsid w:val="00754ECB"/>
    <w:rsid w:val="00755C24"/>
    <w:rsid w:val="007605C8"/>
    <w:rsid w:val="00760B23"/>
    <w:rsid w:val="00760E0F"/>
    <w:rsid w:val="007654C0"/>
    <w:rsid w:val="00770386"/>
    <w:rsid w:val="007703D4"/>
    <w:rsid w:val="00770470"/>
    <w:rsid w:val="0077056C"/>
    <w:rsid w:val="00770B44"/>
    <w:rsid w:val="007714EB"/>
    <w:rsid w:val="007725AA"/>
    <w:rsid w:val="00773E91"/>
    <w:rsid w:val="00780F16"/>
    <w:rsid w:val="00781DDF"/>
    <w:rsid w:val="00783672"/>
    <w:rsid w:val="007858B2"/>
    <w:rsid w:val="00785CED"/>
    <w:rsid w:val="0078613F"/>
    <w:rsid w:val="00790BD0"/>
    <w:rsid w:val="00790F6D"/>
    <w:rsid w:val="00795082"/>
    <w:rsid w:val="00795AA9"/>
    <w:rsid w:val="007972D9"/>
    <w:rsid w:val="007973F0"/>
    <w:rsid w:val="00797514"/>
    <w:rsid w:val="007979BC"/>
    <w:rsid w:val="00797DDC"/>
    <w:rsid w:val="007A1F55"/>
    <w:rsid w:val="007A22AE"/>
    <w:rsid w:val="007A3895"/>
    <w:rsid w:val="007A3BA6"/>
    <w:rsid w:val="007A60C3"/>
    <w:rsid w:val="007A6383"/>
    <w:rsid w:val="007A64AF"/>
    <w:rsid w:val="007A66B9"/>
    <w:rsid w:val="007A6868"/>
    <w:rsid w:val="007A7836"/>
    <w:rsid w:val="007B0CBB"/>
    <w:rsid w:val="007B0D99"/>
    <w:rsid w:val="007B0E33"/>
    <w:rsid w:val="007B1115"/>
    <w:rsid w:val="007B2662"/>
    <w:rsid w:val="007B4005"/>
    <w:rsid w:val="007B42B8"/>
    <w:rsid w:val="007B63A8"/>
    <w:rsid w:val="007B6D3E"/>
    <w:rsid w:val="007B7640"/>
    <w:rsid w:val="007B7984"/>
    <w:rsid w:val="007C06AB"/>
    <w:rsid w:val="007C07A9"/>
    <w:rsid w:val="007C09F0"/>
    <w:rsid w:val="007C187D"/>
    <w:rsid w:val="007C2B49"/>
    <w:rsid w:val="007C4FBA"/>
    <w:rsid w:val="007C5034"/>
    <w:rsid w:val="007C74D6"/>
    <w:rsid w:val="007D028A"/>
    <w:rsid w:val="007D1D54"/>
    <w:rsid w:val="007D59E1"/>
    <w:rsid w:val="007E03C5"/>
    <w:rsid w:val="007E2371"/>
    <w:rsid w:val="007E3E0D"/>
    <w:rsid w:val="007E5A35"/>
    <w:rsid w:val="007F0E58"/>
    <w:rsid w:val="007F1785"/>
    <w:rsid w:val="007F18A9"/>
    <w:rsid w:val="007F2785"/>
    <w:rsid w:val="007F3F89"/>
    <w:rsid w:val="007F46C1"/>
    <w:rsid w:val="007F5C35"/>
    <w:rsid w:val="007F6B80"/>
    <w:rsid w:val="007F7277"/>
    <w:rsid w:val="007F792E"/>
    <w:rsid w:val="00801AA0"/>
    <w:rsid w:val="00801B93"/>
    <w:rsid w:val="00803804"/>
    <w:rsid w:val="00803CBC"/>
    <w:rsid w:val="008049BC"/>
    <w:rsid w:val="00806834"/>
    <w:rsid w:val="008078FC"/>
    <w:rsid w:val="008106DE"/>
    <w:rsid w:val="0081340C"/>
    <w:rsid w:val="00815B3C"/>
    <w:rsid w:val="00816091"/>
    <w:rsid w:val="00822014"/>
    <w:rsid w:val="00825D1E"/>
    <w:rsid w:val="00826F54"/>
    <w:rsid w:val="00831D81"/>
    <w:rsid w:val="00832D1D"/>
    <w:rsid w:val="00833ACC"/>
    <w:rsid w:val="00833E3C"/>
    <w:rsid w:val="00834FCD"/>
    <w:rsid w:val="008359DA"/>
    <w:rsid w:val="0083688D"/>
    <w:rsid w:val="0083750A"/>
    <w:rsid w:val="00837839"/>
    <w:rsid w:val="00841F8B"/>
    <w:rsid w:val="00842043"/>
    <w:rsid w:val="00842B38"/>
    <w:rsid w:val="0084591B"/>
    <w:rsid w:val="0085069F"/>
    <w:rsid w:val="0085421E"/>
    <w:rsid w:val="00855383"/>
    <w:rsid w:val="008557AE"/>
    <w:rsid w:val="00855E41"/>
    <w:rsid w:val="00856AF8"/>
    <w:rsid w:val="00861CFB"/>
    <w:rsid w:val="0086221E"/>
    <w:rsid w:val="008622BE"/>
    <w:rsid w:val="0086236D"/>
    <w:rsid w:val="00866225"/>
    <w:rsid w:val="00866C30"/>
    <w:rsid w:val="008703BF"/>
    <w:rsid w:val="0087250D"/>
    <w:rsid w:val="00872840"/>
    <w:rsid w:val="00873798"/>
    <w:rsid w:val="008737D4"/>
    <w:rsid w:val="00874993"/>
    <w:rsid w:val="0087642C"/>
    <w:rsid w:val="008770FE"/>
    <w:rsid w:val="00877511"/>
    <w:rsid w:val="00877F47"/>
    <w:rsid w:val="00883600"/>
    <w:rsid w:val="008859DA"/>
    <w:rsid w:val="00885B7F"/>
    <w:rsid w:val="00886B27"/>
    <w:rsid w:val="0088713C"/>
    <w:rsid w:val="0088735D"/>
    <w:rsid w:val="00887F41"/>
    <w:rsid w:val="00890D3B"/>
    <w:rsid w:val="008910F1"/>
    <w:rsid w:val="0089154D"/>
    <w:rsid w:val="00892D3E"/>
    <w:rsid w:val="00894A7F"/>
    <w:rsid w:val="00895572"/>
    <w:rsid w:val="008A00AB"/>
    <w:rsid w:val="008A19AF"/>
    <w:rsid w:val="008A2AD6"/>
    <w:rsid w:val="008A4254"/>
    <w:rsid w:val="008A469C"/>
    <w:rsid w:val="008A5B49"/>
    <w:rsid w:val="008A763E"/>
    <w:rsid w:val="008B7584"/>
    <w:rsid w:val="008B7AF9"/>
    <w:rsid w:val="008B7C16"/>
    <w:rsid w:val="008C0214"/>
    <w:rsid w:val="008C05F7"/>
    <w:rsid w:val="008C0963"/>
    <w:rsid w:val="008C206C"/>
    <w:rsid w:val="008C449F"/>
    <w:rsid w:val="008C4611"/>
    <w:rsid w:val="008C50EB"/>
    <w:rsid w:val="008D1F5B"/>
    <w:rsid w:val="008D372A"/>
    <w:rsid w:val="008D3C71"/>
    <w:rsid w:val="008D4EC6"/>
    <w:rsid w:val="008D5BF6"/>
    <w:rsid w:val="008D6988"/>
    <w:rsid w:val="008D7B69"/>
    <w:rsid w:val="008D7D30"/>
    <w:rsid w:val="008E1F4E"/>
    <w:rsid w:val="008E3703"/>
    <w:rsid w:val="008E3A58"/>
    <w:rsid w:val="008E3E2F"/>
    <w:rsid w:val="008E4150"/>
    <w:rsid w:val="008E5610"/>
    <w:rsid w:val="008E6C50"/>
    <w:rsid w:val="008F0767"/>
    <w:rsid w:val="008F126C"/>
    <w:rsid w:val="008F198D"/>
    <w:rsid w:val="008F2CA7"/>
    <w:rsid w:val="008F7E35"/>
    <w:rsid w:val="00900E80"/>
    <w:rsid w:val="009019AD"/>
    <w:rsid w:val="009020C5"/>
    <w:rsid w:val="00902601"/>
    <w:rsid w:val="00902632"/>
    <w:rsid w:val="0090267C"/>
    <w:rsid w:val="0090415B"/>
    <w:rsid w:val="00904609"/>
    <w:rsid w:val="00904CAC"/>
    <w:rsid w:val="00905264"/>
    <w:rsid w:val="0090644D"/>
    <w:rsid w:val="0091021F"/>
    <w:rsid w:val="009168E8"/>
    <w:rsid w:val="009176D3"/>
    <w:rsid w:val="009202F7"/>
    <w:rsid w:val="009210BF"/>
    <w:rsid w:val="00921ABE"/>
    <w:rsid w:val="00922D59"/>
    <w:rsid w:val="00923854"/>
    <w:rsid w:val="00925172"/>
    <w:rsid w:val="009265A8"/>
    <w:rsid w:val="00926EE7"/>
    <w:rsid w:val="0093628A"/>
    <w:rsid w:val="009400F8"/>
    <w:rsid w:val="00940170"/>
    <w:rsid w:val="009409C8"/>
    <w:rsid w:val="009411BC"/>
    <w:rsid w:val="0094319F"/>
    <w:rsid w:val="00944D63"/>
    <w:rsid w:val="00953242"/>
    <w:rsid w:val="0095397A"/>
    <w:rsid w:val="009548BD"/>
    <w:rsid w:val="00954B1F"/>
    <w:rsid w:val="00955EE3"/>
    <w:rsid w:val="00957DDC"/>
    <w:rsid w:val="0096057B"/>
    <w:rsid w:val="009611DF"/>
    <w:rsid w:val="00962FF9"/>
    <w:rsid w:val="00963BCC"/>
    <w:rsid w:val="00963CCA"/>
    <w:rsid w:val="0097082F"/>
    <w:rsid w:val="009712CB"/>
    <w:rsid w:val="0097137A"/>
    <w:rsid w:val="00972FF3"/>
    <w:rsid w:val="00973D0C"/>
    <w:rsid w:val="00981277"/>
    <w:rsid w:val="009820B5"/>
    <w:rsid w:val="00983A7A"/>
    <w:rsid w:val="009864A6"/>
    <w:rsid w:val="00986E41"/>
    <w:rsid w:val="00992DD2"/>
    <w:rsid w:val="00992E31"/>
    <w:rsid w:val="00993B1A"/>
    <w:rsid w:val="00994CBC"/>
    <w:rsid w:val="00995934"/>
    <w:rsid w:val="009963CA"/>
    <w:rsid w:val="0099C8C8"/>
    <w:rsid w:val="009A18CE"/>
    <w:rsid w:val="009A1CEC"/>
    <w:rsid w:val="009A5284"/>
    <w:rsid w:val="009B5264"/>
    <w:rsid w:val="009B6418"/>
    <w:rsid w:val="009B675D"/>
    <w:rsid w:val="009C149D"/>
    <w:rsid w:val="009C1BD2"/>
    <w:rsid w:val="009C3727"/>
    <w:rsid w:val="009C4E3E"/>
    <w:rsid w:val="009C69BE"/>
    <w:rsid w:val="009C7248"/>
    <w:rsid w:val="009D141D"/>
    <w:rsid w:val="009D248D"/>
    <w:rsid w:val="009D6458"/>
    <w:rsid w:val="009D7E17"/>
    <w:rsid w:val="009E29AD"/>
    <w:rsid w:val="009E581C"/>
    <w:rsid w:val="009F1A7A"/>
    <w:rsid w:val="009F1E3B"/>
    <w:rsid w:val="009F1F1A"/>
    <w:rsid w:val="009F26BA"/>
    <w:rsid w:val="009F3E5C"/>
    <w:rsid w:val="009F509A"/>
    <w:rsid w:val="009F579E"/>
    <w:rsid w:val="00A001DC"/>
    <w:rsid w:val="00A03899"/>
    <w:rsid w:val="00A06069"/>
    <w:rsid w:val="00A101BD"/>
    <w:rsid w:val="00A105DD"/>
    <w:rsid w:val="00A14134"/>
    <w:rsid w:val="00A14554"/>
    <w:rsid w:val="00A16992"/>
    <w:rsid w:val="00A16D5C"/>
    <w:rsid w:val="00A214F4"/>
    <w:rsid w:val="00A22D05"/>
    <w:rsid w:val="00A22F71"/>
    <w:rsid w:val="00A22FEB"/>
    <w:rsid w:val="00A2589B"/>
    <w:rsid w:val="00A273C6"/>
    <w:rsid w:val="00A30D64"/>
    <w:rsid w:val="00A3192D"/>
    <w:rsid w:val="00A31A32"/>
    <w:rsid w:val="00A31C0C"/>
    <w:rsid w:val="00A31D18"/>
    <w:rsid w:val="00A31F04"/>
    <w:rsid w:val="00A31FFB"/>
    <w:rsid w:val="00A327E2"/>
    <w:rsid w:val="00A32A5F"/>
    <w:rsid w:val="00A3327F"/>
    <w:rsid w:val="00A36584"/>
    <w:rsid w:val="00A36A6C"/>
    <w:rsid w:val="00A4091E"/>
    <w:rsid w:val="00A43272"/>
    <w:rsid w:val="00A507C2"/>
    <w:rsid w:val="00A556CC"/>
    <w:rsid w:val="00A55E16"/>
    <w:rsid w:val="00A55FE7"/>
    <w:rsid w:val="00A60F7C"/>
    <w:rsid w:val="00A619B4"/>
    <w:rsid w:val="00A62E72"/>
    <w:rsid w:val="00A7157A"/>
    <w:rsid w:val="00A76059"/>
    <w:rsid w:val="00A77C9F"/>
    <w:rsid w:val="00A81427"/>
    <w:rsid w:val="00A818BE"/>
    <w:rsid w:val="00A81CDE"/>
    <w:rsid w:val="00A82D6B"/>
    <w:rsid w:val="00A83BAF"/>
    <w:rsid w:val="00A85EB6"/>
    <w:rsid w:val="00A860CE"/>
    <w:rsid w:val="00A90026"/>
    <w:rsid w:val="00A9025E"/>
    <w:rsid w:val="00A91242"/>
    <w:rsid w:val="00A91361"/>
    <w:rsid w:val="00A9510C"/>
    <w:rsid w:val="00A9555E"/>
    <w:rsid w:val="00AA0C17"/>
    <w:rsid w:val="00AA1497"/>
    <w:rsid w:val="00AA3359"/>
    <w:rsid w:val="00AA6F18"/>
    <w:rsid w:val="00AA7640"/>
    <w:rsid w:val="00AB04D5"/>
    <w:rsid w:val="00AB22A0"/>
    <w:rsid w:val="00AB2946"/>
    <w:rsid w:val="00AB31EB"/>
    <w:rsid w:val="00AB33CC"/>
    <w:rsid w:val="00AB6882"/>
    <w:rsid w:val="00AB6C5B"/>
    <w:rsid w:val="00AB7834"/>
    <w:rsid w:val="00AB7B5C"/>
    <w:rsid w:val="00AC0126"/>
    <w:rsid w:val="00AC3BDB"/>
    <w:rsid w:val="00AC6282"/>
    <w:rsid w:val="00AD200C"/>
    <w:rsid w:val="00AD3038"/>
    <w:rsid w:val="00AD6651"/>
    <w:rsid w:val="00AD6A8F"/>
    <w:rsid w:val="00AD720D"/>
    <w:rsid w:val="00AE0B95"/>
    <w:rsid w:val="00AE0C5D"/>
    <w:rsid w:val="00AE338C"/>
    <w:rsid w:val="00AE413A"/>
    <w:rsid w:val="00AE5F99"/>
    <w:rsid w:val="00AE61E8"/>
    <w:rsid w:val="00AE7599"/>
    <w:rsid w:val="00AF5D2A"/>
    <w:rsid w:val="00AF68C7"/>
    <w:rsid w:val="00AF6C36"/>
    <w:rsid w:val="00AF733F"/>
    <w:rsid w:val="00B018F1"/>
    <w:rsid w:val="00B01D75"/>
    <w:rsid w:val="00B03525"/>
    <w:rsid w:val="00B05028"/>
    <w:rsid w:val="00B06AB6"/>
    <w:rsid w:val="00B072AC"/>
    <w:rsid w:val="00B0778D"/>
    <w:rsid w:val="00B07E30"/>
    <w:rsid w:val="00B10010"/>
    <w:rsid w:val="00B1353B"/>
    <w:rsid w:val="00B13A99"/>
    <w:rsid w:val="00B1536F"/>
    <w:rsid w:val="00B15F6B"/>
    <w:rsid w:val="00B16251"/>
    <w:rsid w:val="00B17A01"/>
    <w:rsid w:val="00B20403"/>
    <w:rsid w:val="00B2159C"/>
    <w:rsid w:val="00B23060"/>
    <w:rsid w:val="00B234EA"/>
    <w:rsid w:val="00B23CBB"/>
    <w:rsid w:val="00B23D8D"/>
    <w:rsid w:val="00B23E0D"/>
    <w:rsid w:val="00B24C52"/>
    <w:rsid w:val="00B2689C"/>
    <w:rsid w:val="00B27AA6"/>
    <w:rsid w:val="00B31824"/>
    <w:rsid w:val="00B319AE"/>
    <w:rsid w:val="00B340E8"/>
    <w:rsid w:val="00B34C76"/>
    <w:rsid w:val="00B36FC3"/>
    <w:rsid w:val="00B40E4F"/>
    <w:rsid w:val="00B41387"/>
    <w:rsid w:val="00B437EB"/>
    <w:rsid w:val="00B43C5F"/>
    <w:rsid w:val="00B4734A"/>
    <w:rsid w:val="00B51269"/>
    <w:rsid w:val="00B52002"/>
    <w:rsid w:val="00B53475"/>
    <w:rsid w:val="00B53481"/>
    <w:rsid w:val="00B55EF9"/>
    <w:rsid w:val="00B57CBD"/>
    <w:rsid w:val="00B61B31"/>
    <w:rsid w:val="00B62026"/>
    <w:rsid w:val="00B6374C"/>
    <w:rsid w:val="00B65711"/>
    <w:rsid w:val="00B66F06"/>
    <w:rsid w:val="00B7203A"/>
    <w:rsid w:val="00B7211A"/>
    <w:rsid w:val="00B7277B"/>
    <w:rsid w:val="00B73751"/>
    <w:rsid w:val="00B74955"/>
    <w:rsid w:val="00B777B5"/>
    <w:rsid w:val="00B77B6D"/>
    <w:rsid w:val="00B77D53"/>
    <w:rsid w:val="00B81A7D"/>
    <w:rsid w:val="00B838BC"/>
    <w:rsid w:val="00B85BC2"/>
    <w:rsid w:val="00B86839"/>
    <w:rsid w:val="00B86ADE"/>
    <w:rsid w:val="00B87B30"/>
    <w:rsid w:val="00B9118C"/>
    <w:rsid w:val="00B9359B"/>
    <w:rsid w:val="00B9463F"/>
    <w:rsid w:val="00B96F5C"/>
    <w:rsid w:val="00B973E4"/>
    <w:rsid w:val="00BA0C7A"/>
    <w:rsid w:val="00BA142E"/>
    <w:rsid w:val="00BA2F7E"/>
    <w:rsid w:val="00BA3F53"/>
    <w:rsid w:val="00BA571D"/>
    <w:rsid w:val="00BA573F"/>
    <w:rsid w:val="00BA591D"/>
    <w:rsid w:val="00BB2D2B"/>
    <w:rsid w:val="00BB358F"/>
    <w:rsid w:val="00BB39E9"/>
    <w:rsid w:val="00BB4381"/>
    <w:rsid w:val="00BB53B5"/>
    <w:rsid w:val="00BB5692"/>
    <w:rsid w:val="00BB5AFE"/>
    <w:rsid w:val="00BB69D5"/>
    <w:rsid w:val="00BB70CA"/>
    <w:rsid w:val="00BB7FB9"/>
    <w:rsid w:val="00BC222B"/>
    <w:rsid w:val="00BC2374"/>
    <w:rsid w:val="00BC242B"/>
    <w:rsid w:val="00BC3DC8"/>
    <w:rsid w:val="00BC6526"/>
    <w:rsid w:val="00BC6D81"/>
    <w:rsid w:val="00BC7551"/>
    <w:rsid w:val="00BD0821"/>
    <w:rsid w:val="00BD0B55"/>
    <w:rsid w:val="00BD0C70"/>
    <w:rsid w:val="00BD50CE"/>
    <w:rsid w:val="00BD7425"/>
    <w:rsid w:val="00BE3874"/>
    <w:rsid w:val="00BE393B"/>
    <w:rsid w:val="00BE3BD4"/>
    <w:rsid w:val="00BE509E"/>
    <w:rsid w:val="00BF02D1"/>
    <w:rsid w:val="00BF1946"/>
    <w:rsid w:val="00BF197A"/>
    <w:rsid w:val="00BF47EA"/>
    <w:rsid w:val="00BF5847"/>
    <w:rsid w:val="00BF64AE"/>
    <w:rsid w:val="00BF6893"/>
    <w:rsid w:val="00BF7B22"/>
    <w:rsid w:val="00C053CE"/>
    <w:rsid w:val="00C05A67"/>
    <w:rsid w:val="00C10D6E"/>
    <w:rsid w:val="00C11774"/>
    <w:rsid w:val="00C12AFA"/>
    <w:rsid w:val="00C131B6"/>
    <w:rsid w:val="00C17DA1"/>
    <w:rsid w:val="00C2059C"/>
    <w:rsid w:val="00C20640"/>
    <w:rsid w:val="00C23C0E"/>
    <w:rsid w:val="00C24E6B"/>
    <w:rsid w:val="00C253F4"/>
    <w:rsid w:val="00C275F4"/>
    <w:rsid w:val="00C27BAD"/>
    <w:rsid w:val="00C329AB"/>
    <w:rsid w:val="00C32B53"/>
    <w:rsid w:val="00C33EB5"/>
    <w:rsid w:val="00C35E63"/>
    <w:rsid w:val="00C370F4"/>
    <w:rsid w:val="00C376AE"/>
    <w:rsid w:val="00C404F3"/>
    <w:rsid w:val="00C411EC"/>
    <w:rsid w:val="00C42D41"/>
    <w:rsid w:val="00C44A36"/>
    <w:rsid w:val="00C45722"/>
    <w:rsid w:val="00C47E1C"/>
    <w:rsid w:val="00C52749"/>
    <w:rsid w:val="00C52910"/>
    <w:rsid w:val="00C52F4E"/>
    <w:rsid w:val="00C54701"/>
    <w:rsid w:val="00C573F7"/>
    <w:rsid w:val="00C57B4D"/>
    <w:rsid w:val="00C621EA"/>
    <w:rsid w:val="00C62558"/>
    <w:rsid w:val="00C64495"/>
    <w:rsid w:val="00C645C5"/>
    <w:rsid w:val="00C65411"/>
    <w:rsid w:val="00C662E4"/>
    <w:rsid w:val="00C67A82"/>
    <w:rsid w:val="00C70E75"/>
    <w:rsid w:val="00C718EF"/>
    <w:rsid w:val="00C73CEC"/>
    <w:rsid w:val="00C73FC3"/>
    <w:rsid w:val="00C744A2"/>
    <w:rsid w:val="00C76A06"/>
    <w:rsid w:val="00C773DB"/>
    <w:rsid w:val="00C80A24"/>
    <w:rsid w:val="00C80F6B"/>
    <w:rsid w:val="00C85096"/>
    <w:rsid w:val="00C85BE1"/>
    <w:rsid w:val="00C92B73"/>
    <w:rsid w:val="00C92BB5"/>
    <w:rsid w:val="00C93264"/>
    <w:rsid w:val="00C9445E"/>
    <w:rsid w:val="00C95A62"/>
    <w:rsid w:val="00CA29BA"/>
    <w:rsid w:val="00CA2E40"/>
    <w:rsid w:val="00CA3052"/>
    <w:rsid w:val="00CA54E1"/>
    <w:rsid w:val="00CA7A60"/>
    <w:rsid w:val="00CA7ABC"/>
    <w:rsid w:val="00CB1510"/>
    <w:rsid w:val="00CB3535"/>
    <w:rsid w:val="00CB400D"/>
    <w:rsid w:val="00CB5F82"/>
    <w:rsid w:val="00CB680F"/>
    <w:rsid w:val="00CB6C43"/>
    <w:rsid w:val="00CB7CA9"/>
    <w:rsid w:val="00CB7D77"/>
    <w:rsid w:val="00CC068D"/>
    <w:rsid w:val="00CC1D6E"/>
    <w:rsid w:val="00CC28A5"/>
    <w:rsid w:val="00CC49A8"/>
    <w:rsid w:val="00CC5E29"/>
    <w:rsid w:val="00CC7425"/>
    <w:rsid w:val="00CC77A9"/>
    <w:rsid w:val="00CD058D"/>
    <w:rsid w:val="00CD18D2"/>
    <w:rsid w:val="00CD2324"/>
    <w:rsid w:val="00CD2537"/>
    <w:rsid w:val="00CD4968"/>
    <w:rsid w:val="00CD4F31"/>
    <w:rsid w:val="00CD57D1"/>
    <w:rsid w:val="00CD60FB"/>
    <w:rsid w:val="00CD687C"/>
    <w:rsid w:val="00CE442E"/>
    <w:rsid w:val="00CE48AD"/>
    <w:rsid w:val="00CE4EAF"/>
    <w:rsid w:val="00CE4ED6"/>
    <w:rsid w:val="00CF072F"/>
    <w:rsid w:val="00CF11D2"/>
    <w:rsid w:val="00CF1607"/>
    <w:rsid w:val="00CF2D98"/>
    <w:rsid w:val="00CF3FFE"/>
    <w:rsid w:val="00CF45AD"/>
    <w:rsid w:val="00CF5A8F"/>
    <w:rsid w:val="00CF7431"/>
    <w:rsid w:val="00D01EAA"/>
    <w:rsid w:val="00D02C6B"/>
    <w:rsid w:val="00D04792"/>
    <w:rsid w:val="00D04F3D"/>
    <w:rsid w:val="00D0774D"/>
    <w:rsid w:val="00D100C4"/>
    <w:rsid w:val="00D103DE"/>
    <w:rsid w:val="00D122DE"/>
    <w:rsid w:val="00D12527"/>
    <w:rsid w:val="00D12824"/>
    <w:rsid w:val="00D14BFA"/>
    <w:rsid w:val="00D14F7D"/>
    <w:rsid w:val="00D217EA"/>
    <w:rsid w:val="00D22C42"/>
    <w:rsid w:val="00D231E4"/>
    <w:rsid w:val="00D25B7A"/>
    <w:rsid w:val="00D265D7"/>
    <w:rsid w:val="00D30620"/>
    <w:rsid w:val="00D30964"/>
    <w:rsid w:val="00D31E13"/>
    <w:rsid w:val="00D365A5"/>
    <w:rsid w:val="00D37E3F"/>
    <w:rsid w:val="00D40124"/>
    <w:rsid w:val="00D40590"/>
    <w:rsid w:val="00D4206B"/>
    <w:rsid w:val="00D4335B"/>
    <w:rsid w:val="00D5021A"/>
    <w:rsid w:val="00D528D9"/>
    <w:rsid w:val="00D542FA"/>
    <w:rsid w:val="00D571BD"/>
    <w:rsid w:val="00D57983"/>
    <w:rsid w:val="00D57E8F"/>
    <w:rsid w:val="00D60494"/>
    <w:rsid w:val="00D615F5"/>
    <w:rsid w:val="00D63B4C"/>
    <w:rsid w:val="00D65244"/>
    <w:rsid w:val="00D66141"/>
    <w:rsid w:val="00D67875"/>
    <w:rsid w:val="00D75F0F"/>
    <w:rsid w:val="00D810A5"/>
    <w:rsid w:val="00D85E89"/>
    <w:rsid w:val="00D870C6"/>
    <w:rsid w:val="00D8764D"/>
    <w:rsid w:val="00D87759"/>
    <w:rsid w:val="00D91831"/>
    <w:rsid w:val="00D920A9"/>
    <w:rsid w:val="00D92D7F"/>
    <w:rsid w:val="00D963BB"/>
    <w:rsid w:val="00D972CE"/>
    <w:rsid w:val="00DA0362"/>
    <w:rsid w:val="00DA1E4F"/>
    <w:rsid w:val="00DA2581"/>
    <w:rsid w:val="00DA322B"/>
    <w:rsid w:val="00DA6651"/>
    <w:rsid w:val="00DA6F01"/>
    <w:rsid w:val="00DB15A3"/>
    <w:rsid w:val="00DB16AE"/>
    <w:rsid w:val="00DB193F"/>
    <w:rsid w:val="00DB2403"/>
    <w:rsid w:val="00DB2A77"/>
    <w:rsid w:val="00DB434B"/>
    <w:rsid w:val="00DB4E16"/>
    <w:rsid w:val="00DB55CD"/>
    <w:rsid w:val="00DB57D4"/>
    <w:rsid w:val="00DB7D79"/>
    <w:rsid w:val="00DC052D"/>
    <w:rsid w:val="00DC0A2D"/>
    <w:rsid w:val="00DC0C0E"/>
    <w:rsid w:val="00DC2546"/>
    <w:rsid w:val="00DC3125"/>
    <w:rsid w:val="00DC3F60"/>
    <w:rsid w:val="00DC5110"/>
    <w:rsid w:val="00DC730F"/>
    <w:rsid w:val="00DC767E"/>
    <w:rsid w:val="00DD7EBE"/>
    <w:rsid w:val="00DE0768"/>
    <w:rsid w:val="00DE1EEC"/>
    <w:rsid w:val="00DE2D3B"/>
    <w:rsid w:val="00DE2DBE"/>
    <w:rsid w:val="00DE5643"/>
    <w:rsid w:val="00DE6C35"/>
    <w:rsid w:val="00DE6D77"/>
    <w:rsid w:val="00DF0D1A"/>
    <w:rsid w:val="00DF1092"/>
    <w:rsid w:val="00DF12CB"/>
    <w:rsid w:val="00DF14F1"/>
    <w:rsid w:val="00DF18A7"/>
    <w:rsid w:val="00DF4ABF"/>
    <w:rsid w:val="00DF56C0"/>
    <w:rsid w:val="00DF681E"/>
    <w:rsid w:val="00DF6929"/>
    <w:rsid w:val="00E002B5"/>
    <w:rsid w:val="00E007C3"/>
    <w:rsid w:val="00E01882"/>
    <w:rsid w:val="00E0217A"/>
    <w:rsid w:val="00E0244D"/>
    <w:rsid w:val="00E04F00"/>
    <w:rsid w:val="00E07876"/>
    <w:rsid w:val="00E107DC"/>
    <w:rsid w:val="00E10831"/>
    <w:rsid w:val="00E1340F"/>
    <w:rsid w:val="00E15383"/>
    <w:rsid w:val="00E15D95"/>
    <w:rsid w:val="00E16032"/>
    <w:rsid w:val="00E200BE"/>
    <w:rsid w:val="00E202F7"/>
    <w:rsid w:val="00E20721"/>
    <w:rsid w:val="00E20B66"/>
    <w:rsid w:val="00E21209"/>
    <w:rsid w:val="00E21286"/>
    <w:rsid w:val="00E21DFB"/>
    <w:rsid w:val="00E23955"/>
    <w:rsid w:val="00E27A2D"/>
    <w:rsid w:val="00E3114A"/>
    <w:rsid w:val="00E324A1"/>
    <w:rsid w:val="00E3283D"/>
    <w:rsid w:val="00E34855"/>
    <w:rsid w:val="00E41CD0"/>
    <w:rsid w:val="00E4582F"/>
    <w:rsid w:val="00E45AE5"/>
    <w:rsid w:val="00E4724C"/>
    <w:rsid w:val="00E47A38"/>
    <w:rsid w:val="00E47C61"/>
    <w:rsid w:val="00E54081"/>
    <w:rsid w:val="00E556FA"/>
    <w:rsid w:val="00E56955"/>
    <w:rsid w:val="00E57A0C"/>
    <w:rsid w:val="00E57BFA"/>
    <w:rsid w:val="00E61DA1"/>
    <w:rsid w:val="00E62A0F"/>
    <w:rsid w:val="00E63AD4"/>
    <w:rsid w:val="00E673DF"/>
    <w:rsid w:val="00E70FBE"/>
    <w:rsid w:val="00E72CCE"/>
    <w:rsid w:val="00E74278"/>
    <w:rsid w:val="00E7696E"/>
    <w:rsid w:val="00E9078D"/>
    <w:rsid w:val="00E90CCF"/>
    <w:rsid w:val="00E90D2D"/>
    <w:rsid w:val="00E919D3"/>
    <w:rsid w:val="00E9255C"/>
    <w:rsid w:val="00EA3A2E"/>
    <w:rsid w:val="00EA7AF1"/>
    <w:rsid w:val="00EB0975"/>
    <w:rsid w:val="00EB1E19"/>
    <w:rsid w:val="00EB2457"/>
    <w:rsid w:val="00EB2D42"/>
    <w:rsid w:val="00EB3EAF"/>
    <w:rsid w:val="00EB7CB8"/>
    <w:rsid w:val="00EB7EE9"/>
    <w:rsid w:val="00EC4F93"/>
    <w:rsid w:val="00EC5F9C"/>
    <w:rsid w:val="00EC6D03"/>
    <w:rsid w:val="00EC7BAB"/>
    <w:rsid w:val="00EC7EDC"/>
    <w:rsid w:val="00ED102C"/>
    <w:rsid w:val="00ED1FB0"/>
    <w:rsid w:val="00ED335F"/>
    <w:rsid w:val="00ED570E"/>
    <w:rsid w:val="00ED58B3"/>
    <w:rsid w:val="00ED626E"/>
    <w:rsid w:val="00EE14C1"/>
    <w:rsid w:val="00EE2500"/>
    <w:rsid w:val="00EE7873"/>
    <w:rsid w:val="00EE7FF7"/>
    <w:rsid w:val="00EF012D"/>
    <w:rsid w:val="00EF25E4"/>
    <w:rsid w:val="00EF270C"/>
    <w:rsid w:val="00EF3D7F"/>
    <w:rsid w:val="00EF548F"/>
    <w:rsid w:val="00EF5D58"/>
    <w:rsid w:val="00EF64E1"/>
    <w:rsid w:val="00EF6AFE"/>
    <w:rsid w:val="00EF7D33"/>
    <w:rsid w:val="00F00049"/>
    <w:rsid w:val="00F01B46"/>
    <w:rsid w:val="00F024EB"/>
    <w:rsid w:val="00F02789"/>
    <w:rsid w:val="00F02EBD"/>
    <w:rsid w:val="00F046AC"/>
    <w:rsid w:val="00F053A7"/>
    <w:rsid w:val="00F0570D"/>
    <w:rsid w:val="00F05E3A"/>
    <w:rsid w:val="00F06BFC"/>
    <w:rsid w:val="00F1071E"/>
    <w:rsid w:val="00F1198E"/>
    <w:rsid w:val="00F12823"/>
    <w:rsid w:val="00F12D7E"/>
    <w:rsid w:val="00F1555D"/>
    <w:rsid w:val="00F22F64"/>
    <w:rsid w:val="00F25B2F"/>
    <w:rsid w:val="00F27E6A"/>
    <w:rsid w:val="00F30ADA"/>
    <w:rsid w:val="00F31D36"/>
    <w:rsid w:val="00F330A4"/>
    <w:rsid w:val="00F375EC"/>
    <w:rsid w:val="00F37C65"/>
    <w:rsid w:val="00F42CC8"/>
    <w:rsid w:val="00F42EF1"/>
    <w:rsid w:val="00F45221"/>
    <w:rsid w:val="00F512B4"/>
    <w:rsid w:val="00F52C47"/>
    <w:rsid w:val="00F543CE"/>
    <w:rsid w:val="00F55CE0"/>
    <w:rsid w:val="00F60EFD"/>
    <w:rsid w:val="00F63A16"/>
    <w:rsid w:val="00F6687F"/>
    <w:rsid w:val="00F678D0"/>
    <w:rsid w:val="00F7062C"/>
    <w:rsid w:val="00F75C17"/>
    <w:rsid w:val="00F77C88"/>
    <w:rsid w:val="00F8222B"/>
    <w:rsid w:val="00F834D7"/>
    <w:rsid w:val="00F844B7"/>
    <w:rsid w:val="00F85B71"/>
    <w:rsid w:val="00F91D94"/>
    <w:rsid w:val="00F93394"/>
    <w:rsid w:val="00F95B95"/>
    <w:rsid w:val="00FA0895"/>
    <w:rsid w:val="00FA132B"/>
    <w:rsid w:val="00FA33FB"/>
    <w:rsid w:val="00FA3CEA"/>
    <w:rsid w:val="00FA400E"/>
    <w:rsid w:val="00FB2254"/>
    <w:rsid w:val="00FB372E"/>
    <w:rsid w:val="00FB3A50"/>
    <w:rsid w:val="00FB5C91"/>
    <w:rsid w:val="00FB5DEA"/>
    <w:rsid w:val="00FB6FA5"/>
    <w:rsid w:val="00FC0AD8"/>
    <w:rsid w:val="00FC3C0B"/>
    <w:rsid w:val="00FC500E"/>
    <w:rsid w:val="00FC6F97"/>
    <w:rsid w:val="00FD0ECD"/>
    <w:rsid w:val="00FD3384"/>
    <w:rsid w:val="00FD368B"/>
    <w:rsid w:val="00FD39BE"/>
    <w:rsid w:val="00FD451D"/>
    <w:rsid w:val="00FD469F"/>
    <w:rsid w:val="00FD6094"/>
    <w:rsid w:val="00FD6BC7"/>
    <w:rsid w:val="00FD7184"/>
    <w:rsid w:val="00FD72DF"/>
    <w:rsid w:val="00FE0320"/>
    <w:rsid w:val="00FE0657"/>
    <w:rsid w:val="00FE309A"/>
    <w:rsid w:val="00FE4B5A"/>
    <w:rsid w:val="00FE6682"/>
    <w:rsid w:val="00FE75C2"/>
    <w:rsid w:val="00FE7898"/>
    <w:rsid w:val="00FE7C10"/>
    <w:rsid w:val="00FF1AFC"/>
    <w:rsid w:val="00FF2CBD"/>
    <w:rsid w:val="00FF4561"/>
    <w:rsid w:val="00FF5423"/>
    <w:rsid w:val="00FF56AF"/>
    <w:rsid w:val="00FF689A"/>
    <w:rsid w:val="00FF6F45"/>
    <w:rsid w:val="016F563C"/>
    <w:rsid w:val="02110F00"/>
    <w:rsid w:val="02190862"/>
    <w:rsid w:val="025A408C"/>
    <w:rsid w:val="026E6968"/>
    <w:rsid w:val="02F3DC8C"/>
    <w:rsid w:val="031CB63E"/>
    <w:rsid w:val="039E0763"/>
    <w:rsid w:val="03F45059"/>
    <w:rsid w:val="04B03A2A"/>
    <w:rsid w:val="04DEB6BA"/>
    <w:rsid w:val="05265D68"/>
    <w:rsid w:val="0530EBA1"/>
    <w:rsid w:val="05758524"/>
    <w:rsid w:val="058D10CA"/>
    <w:rsid w:val="05DC3B76"/>
    <w:rsid w:val="060A3EE2"/>
    <w:rsid w:val="06511ACB"/>
    <w:rsid w:val="06839F39"/>
    <w:rsid w:val="07AAB677"/>
    <w:rsid w:val="07B61EBB"/>
    <w:rsid w:val="07C68F08"/>
    <w:rsid w:val="08A78ED4"/>
    <w:rsid w:val="08D31725"/>
    <w:rsid w:val="091F320E"/>
    <w:rsid w:val="095BF2CF"/>
    <w:rsid w:val="0992F7AA"/>
    <w:rsid w:val="0A0BB9C1"/>
    <w:rsid w:val="0A4CCE9E"/>
    <w:rsid w:val="0A6EE786"/>
    <w:rsid w:val="0A739D4A"/>
    <w:rsid w:val="0AD44C18"/>
    <w:rsid w:val="0B33010D"/>
    <w:rsid w:val="0B3DAFAA"/>
    <w:rsid w:val="0B8BAEA3"/>
    <w:rsid w:val="0BE89EFF"/>
    <w:rsid w:val="0BFADC3E"/>
    <w:rsid w:val="0C5918C9"/>
    <w:rsid w:val="0CF5D075"/>
    <w:rsid w:val="0CF795C6"/>
    <w:rsid w:val="0E2757D5"/>
    <w:rsid w:val="0E6C28BE"/>
    <w:rsid w:val="0EC05B14"/>
    <w:rsid w:val="0EEB80E0"/>
    <w:rsid w:val="0F2FCE08"/>
    <w:rsid w:val="0F9D03EB"/>
    <w:rsid w:val="102E82D9"/>
    <w:rsid w:val="1141D3F7"/>
    <w:rsid w:val="11496F9B"/>
    <w:rsid w:val="12283B99"/>
    <w:rsid w:val="131CFF17"/>
    <w:rsid w:val="13211806"/>
    <w:rsid w:val="13814DFE"/>
    <w:rsid w:val="13822BB2"/>
    <w:rsid w:val="141E3449"/>
    <w:rsid w:val="143B465C"/>
    <w:rsid w:val="14483724"/>
    <w:rsid w:val="14562BE7"/>
    <w:rsid w:val="14E44FD8"/>
    <w:rsid w:val="15026669"/>
    <w:rsid w:val="150FA278"/>
    <w:rsid w:val="15D9AF2A"/>
    <w:rsid w:val="162AEC69"/>
    <w:rsid w:val="16316A80"/>
    <w:rsid w:val="16E4696F"/>
    <w:rsid w:val="17261D10"/>
    <w:rsid w:val="17E6892E"/>
    <w:rsid w:val="17F79437"/>
    <w:rsid w:val="1805EC3C"/>
    <w:rsid w:val="18339ED1"/>
    <w:rsid w:val="1891FBC2"/>
    <w:rsid w:val="195F876A"/>
    <w:rsid w:val="19889440"/>
    <w:rsid w:val="198B44FF"/>
    <w:rsid w:val="1A1564AC"/>
    <w:rsid w:val="1A223903"/>
    <w:rsid w:val="1AC11601"/>
    <w:rsid w:val="1AE1DCCD"/>
    <w:rsid w:val="1AE88A28"/>
    <w:rsid w:val="1B36E108"/>
    <w:rsid w:val="1B3A5CC2"/>
    <w:rsid w:val="1B7B52E5"/>
    <w:rsid w:val="1C871C55"/>
    <w:rsid w:val="1CAE5E26"/>
    <w:rsid w:val="1CC37AF4"/>
    <w:rsid w:val="1CE9AFBB"/>
    <w:rsid w:val="1D1A1D54"/>
    <w:rsid w:val="1D42F956"/>
    <w:rsid w:val="1E29A65B"/>
    <w:rsid w:val="1E33BE43"/>
    <w:rsid w:val="1E42087A"/>
    <w:rsid w:val="1F4FC856"/>
    <w:rsid w:val="1FE0F429"/>
    <w:rsid w:val="1FEC259B"/>
    <w:rsid w:val="20BA5E26"/>
    <w:rsid w:val="20D1B29B"/>
    <w:rsid w:val="215225D8"/>
    <w:rsid w:val="21CB3402"/>
    <w:rsid w:val="2225E79B"/>
    <w:rsid w:val="22FBEEFC"/>
    <w:rsid w:val="23070BFD"/>
    <w:rsid w:val="230D7594"/>
    <w:rsid w:val="2346AFFD"/>
    <w:rsid w:val="24778FB4"/>
    <w:rsid w:val="24F41CF2"/>
    <w:rsid w:val="24FFF3AC"/>
    <w:rsid w:val="252CF446"/>
    <w:rsid w:val="25F1FBF1"/>
    <w:rsid w:val="260AB2D6"/>
    <w:rsid w:val="26234F49"/>
    <w:rsid w:val="262C6B53"/>
    <w:rsid w:val="2630BA98"/>
    <w:rsid w:val="264A4CCF"/>
    <w:rsid w:val="278A7CDE"/>
    <w:rsid w:val="27C22D42"/>
    <w:rsid w:val="284602F2"/>
    <w:rsid w:val="28A2A529"/>
    <w:rsid w:val="28A4F23F"/>
    <w:rsid w:val="2938885A"/>
    <w:rsid w:val="29D14532"/>
    <w:rsid w:val="2A0F7E86"/>
    <w:rsid w:val="2A376C9C"/>
    <w:rsid w:val="2AF172FA"/>
    <w:rsid w:val="2B93BDB0"/>
    <w:rsid w:val="2B9A9902"/>
    <w:rsid w:val="2C1A975C"/>
    <w:rsid w:val="2C2B403F"/>
    <w:rsid w:val="2D2909DD"/>
    <w:rsid w:val="2DAA9683"/>
    <w:rsid w:val="2DF892A5"/>
    <w:rsid w:val="2E09EE4E"/>
    <w:rsid w:val="2EBBA209"/>
    <w:rsid w:val="2EF922A4"/>
    <w:rsid w:val="2F37F886"/>
    <w:rsid w:val="2F50C899"/>
    <w:rsid w:val="30043341"/>
    <w:rsid w:val="30055761"/>
    <w:rsid w:val="306617F7"/>
    <w:rsid w:val="3140A152"/>
    <w:rsid w:val="3217370E"/>
    <w:rsid w:val="326980E9"/>
    <w:rsid w:val="3296DB11"/>
    <w:rsid w:val="3304D653"/>
    <w:rsid w:val="332378FC"/>
    <w:rsid w:val="33A90E1C"/>
    <w:rsid w:val="3524997C"/>
    <w:rsid w:val="354F0F4D"/>
    <w:rsid w:val="36717AD5"/>
    <w:rsid w:val="368D32D7"/>
    <w:rsid w:val="36A50D53"/>
    <w:rsid w:val="370B24FF"/>
    <w:rsid w:val="37433046"/>
    <w:rsid w:val="3770FE05"/>
    <w:rsid w:val="3775502C"/>
    <w:rsid w:val="381B1315"/>
    <w:rsid w:val="381B1E4E"/>
    <w:rsid w:val="3827E7F9"/>
    <w:rsid w:val="38397B04"/>
    <w:rsid w:val="38828ECD"/>
    <w:rsid w:val="3896008D"/>
    <w:rsid w:val="389CC94F"/>
    <w:rsid w:val="3901DED7"/>
    <w:rsid w:val="39657E7B"/>
    <w:rsid w:val="39BE51AD"/>
    <w:rsid w:val="3B1D16A0"/>
    <w:rsid w:val="3B4D7A8F"/>
    <w:rsid w:val="3B947434"/>
    <w:rsid w:val="3BA7C18A"/>
    <w:rsid w:val="3CB0F17F"/>
    <w:rsid w:val="3CDB5366"/>
    <w:rsid w:val="3E167D75"/>
    <w:rsid w:val="3EB8B2BB"/>
    <w:rsid w:val="3EF17059"/>
    <w:rsid w:val="3F6C6CA5"/>
    <w:rsid w:val="3F72859E"/>
    <w:rsid w:val="3F7C0FEA"/>
    <w:rsid w:val="40851513"/>
    <w:rsid w:val="4097C424"/>
    <w:rsid w:val="40F7E489"/>
    <w:rsid w:val="41372F5B"/>
    <w:rsid w:val="421F4ABF"/>
    <w:rsid w:val="422B436E"/>
    <w:rsid w:val="42610FAD"/>
    <w:rsid w:val="42714E75"/>
    <w:rsid w:val="42766938"/>
    <w:rsid w:val="42D341C6"/>
    <w:rsid w:val="42FC005E"/>
    <w:rsid w:val="439E7B73"/>
    <w:rsid w:val="44144172"/>
    <w:rsid w:val="442BADE9"/>
    <w:rsid w:val="4436A2D1"/>
    <w:rsid w:val="444033C7"/>
    <w:rsid w:val="44710DF0"/>
    <w:rsid w:val="44B7E76F"/>
    <w:rsid w:val="45C044C0"/>
    <w:rsid w:val="46679C03"/>
    <w:rsid w:val="47B80E3D"/>
    <w:rsid w:val="47DECC42"/>
    <w:rsid w:val="481DF466"/>
    <w:rsid w:val="4825E1EC"/>
    <w:rsid w:val="4885ED93"/>
    <w:rsid w:val="48C00070"/>
    <w:rsid w:val="49FC4E3E"/>
    <w:rsid w:val="4A57DA9B"/>
    <w:rsid w:val="4A74AFAB"/>
    <w:rsid w:val="4B31FC5B"/>
    <w:rsid w:val="4BEB39F0"/>
    <w:rsid w:val="4BEB4329"/>
    <w:rsid w:val="4BF85E38"/>
    <w:rsid w:val="4C849960"/>
    <w:rsid w:val="4CA45713"/>
    <w:rsid w:val="4D138ED2"/>
    <w:rsid w:val="4D23F2B1"/>
    <w:rsid w:val="4D4B7BAF"/>
    <w:rsid w:val="4D9A059E"/>
    <w:rsid w:val="4F1DA525"/>
    <w:rsid w:val="4F8F06D3"/>
    <w:rsid w:val="4FCDA389"/>
    <w:rsid w:val="4FE9CDEE"/>
    <w:rsid w:val="5074BBD0"/>
    <w:rsid w:val="508D2208"/>
    <w:rsid w:val="51022DA3"/>
    <w:rsid w:val="51270052"/>
    <w:rsid w:val="51C1A836"/>
    <w:rsid w:val="51F2BC40"/>
    <w:rsid w:val="51F763D4"/>
    <w:rsid w:val="52108C31"/>
    <w:rsid w:val="52168A2D"/>
    <w:rsid w:val="521C74CB"/>
    <w:rsid w:val="52515D7F"/>
    <w:rsid w:val="52823469"/>
    <w:rsid w:val="532B3774"/>
    <w:rsid w:val="5373B8B9"/>
    <w:rsid w:val="53D915AD"/>
    <w:rsid w:val="542556FF"/>
    <w:rsid w:val="542AA0B7"/>
    <w:rsid w:val="544A76B9"/>
    <w:rsid w:val="54546A00"/>
    <w:rsid w:val="5483BE8E"/>
    <w:rsid w:val="54A4EDD2"/>
    <w:rsid w:val="550488B6"/>
    <w:rsid w:val="552F0496"/>
    <w:rsid w:val="55682199"/>
    <w:rsid w:val="567F812D"/>
    <w:rsid w:val="5686D627"/>
    <w:rsid w:val="569C10F6"/>
    <w:rsid w:val="56CC8CC4"/>
    <w:rsid w:val="56D4E292"/>
    <w:rsid w:val="56E3FD54"/>
    <w:rsid w:val="56FD2D70"/>
    <w:rsid w:val="5705620B"/>
    <w:rsid w:val="578CC48A"/>
    <w:rsid w:val="57E2ADFB"/>
    <w:rsid w:val="5823264B"/>
    <w:rsid w:val="58387B96"/>
    <w:rsid w:val="5871D77F"/>
    <w:rsid w:val="591E187E"/>
    <w:rsid w:val="59C05688"/>
    <w:rsid w:val="59C848A8"/>
    <w:rsid w:val="59EFC45D"/>
    <w:rsid w:val="5A0DD072"/>
    <w:rsid w:val="5A831937"/>
    <w:rsid w:val="5A91736F"/>
    <w:rsid w:val="5AA35E4F"/>
    <w:rsid w:val="5B1B0441"/>
    <w:rsid w:val="5B763D43"/>
    <w:rsid w:val="5B988058"/>
    <w:rsid w:val="5BABE32A"/>
    <w:rsid w:val="5BC990B1"/>
    <w:rsid w:val="5BFD6C84"/>
    <w:rsid w:val="5C05D2F8"/>
    <w:rsid w:val="5C27EF91"/>
    <w:rsid w:val="5CABE817"/>
    <w:rsid w:val="5CB6D4A2"/>
    <w:rsid w:val="5CE8BABF"/>
    <w:rsid w:val="5CE8DE35"/>
    <w:rsid w:val="5D7D152C"/>
    <w:rsid w:val="5E92B67F"/>
    <w:rsid w:val="5E9DCD34"/>
    <w:rsid w:val="5EA915CE"/>
    <w:rsid w:val="5F7A4D38"/>
    <w:rsid w:val="5FEC8B25"/>
    <w:rsid w:val="600F6313"/>
    <w:rsid w:val="602549CC"/>
    <w:rsid w:val="6079A4C3"/>
    <w:rsid w:val="613C385F"/>
    <w:rsid w:val="614C51D3"/>
    <w:rsid w:val="61591963"/>
    <w:rsid w:val="617A75B7"/>
    <w:rsid w:val="619C0CFF"/>
    <w:rsid w:val="61D979B9"/>
    <w:rsid w:val="6216C6DF"/>
    <w:rsid w:val="62474BB8"/>
    <w:rsid w:val="62C1A271"/>
    <w:rsid w:val="62F22934"/>
    <w:rsid w:val="63222C0C"/>
    <w:rsid w:val="645B7343"/>
    <w:rsid w:val="64D2C78D"/>
    <w:rsid w:val="6545AE7A"/>
    <w:rsid w:val="65584154"/>
    <w:rsid w:val="663E7FD9"/>
    <w:rsid w:val="66A2C2E5"/>
    <w:rsid w:val="66D73A24"/>
    <w:rsid w:val="66DA56D2"/>
    <w:rsid w:val="6726F507"/>
    <w:rsid w:val="674D7F00"/>
    <w:rsid w:val="67A3F6CB"/>
    <w:rsid w:val="67A65685"/>
    <w:rsid w:val="67E55D57"/>
    <w:rsid w:val="68134988"/>
    <w:rsid w:val="6837110A"/>
    <w:rsid w:val="685FD34E"/>
    <w:rsid w:val="688AD46D"/>
    <w:rsid w:val="69139BB9"/>
    <w:rsid w:val="6946F9E4"/>
    <w:rsid w:val="695763B8"/>
    <w:rsid w:val="69D621E8"/>
    <w:rsid w:val="6A46C482"/>
    <w:rsid w:val="6ADD10B4"/>
    <w:rsid w:val="6B8F92F8"/>
    <w:rsid w:val="6BD51A99"/>
    <w:rsid w:val="6C069E39"/>
    <w:rsid w:val="6C3940E6"/>
    <w:rsid w:val="6C588E88"/>
    <w:rsid w:val="6C59005D"/>
    <w:rsid w:val="6CC8E317"/>
    <w:rsid w:val="6CFEDCA2"/>
    <w:rsid w:val="6D57C064"/>
    <w:rsid w:val="6D80748D"/>
    <w:rsid w:val="6E31E4C4"/>
    <w:rsid w:val="6E757CA4"/>
    <w:rsid w:val="6E790FAB"/>
    <w:rsid w:val="6E79719A"/>
    <w:rsid w:val="6EDACFCF"/>
    <w:rsid w:val="6EDC959E"/>
    <w:rsid w:val="6EF8BC25"/>
    <w:rsid w:val="6F053303"/>
    <w:rsid w:val="6F5BDB3E"/>
    <w:rsid w:val="6F871418"/>
    <w:rsid w:val="6F90F183"/>
    <w:rsid w:val="6FAEF232"/>
    <w:rsid w:val="6FEBB633"/>
    <w:rsid w:val="7019D4AF"/>
    <w:rsid w:val="70AB80F6"/>
    <w:rsid w:val="711E3CBC"/>
    <w:rsid w:val="7120B12F"/>
    <w:rsid w:val="717B9DFA"/>
    <w:rsid w:val="71DEB713"/>
    <w:rsid w:val="720A489F"/>
    <w:rsid w:val="72681201"/>
    <w:rsid w:val="72832A8A"/>
    <w:rsid w:val="731AB44D"/>
    <w:rsid w:val="7454D901"/>
    <w:rsid w:val="7463121B"/>
    <w:rsid w:val="74D511AF"/>
    <w:rsid w:val="751AAE5D"/>
    <w:rsid w:val="7526CF03"/>
    <w:rsid w:val="7652550F"/>
    <w:rsid w:val="76887184"/>
    <w:rsid w:val="76A472E4"/>
    <w:rsid w:val="77826FF9"/>
    <w:rsid w:val="77BA0080"/>
    <w:rsid w:val="78393722"/>
    <w:rsid w:val="784810F7"/>
    <w:rsid w:val="784C830A"/>
    <w:rsid w:val="786ED890"/>
    <w:rsid w:val="79053FFD"/>
    <w:rsid w:val="790F1ACC"/>
    <w:rsid w:val="7920C6AA"/>
    <w:rsid w:val="793771B0"/>
    <w:rsid w:val="797BE9CD"/>
    <w:rsid w:val="79C84CF7"/>
    <w:rsid w:val="79ED11F9"/>
    <w:rsid w:val="7A3187BC"/>
    <w:rsid w:val="7A3E45FF"/>
    <w:rsid w:val="7A50C3B7"/>
    <w:rsid w:val="7A64205C"/>
    <w:rsid w:val="7A9216F4"/>
    <w:rsid w:val="7B070A83"/>
    <w:rsid w:val="7B1AD004"/>
    <w:rsid w:val="7B333216"/>
    <w:rsid w:val="7BF8D6D6"/>
    <w:rsid w:val="7C262F31"/>
    <w:rsid w:val="7C51658F"/>
    <w:rsid w:val="7C654B0F"/>
    <w:rsid w:val="7C925F68"/>
    <w:rsid w:val="7D764295"/>
    <w:rsid w:val="7E5C88F4"/>
    <w:rsid w:val="7FBD144C"/>
    <w:rsid w:val="7FDCC906"/>
    <w:rsid w:val="7FFA872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88F4"/>
  <w15:chartTrackingRefBased/>
  <w15:docId w15:val="{F42D1565-CA27-4B81-B19F-1E507E78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lsdException w:name="List Bullet" w:semiHidden="1" w:uiPriority="5"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69" w:qFormat="1"/>
    <w:lsdException w:name="Emphasis" w:semiHidden="1" w:uiPriority="6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9" w:qFormat="1"/>
    <w:lsdException w:name="Intense Quote" w:semiHidden="1" w:uiPriority="6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9" w:qFormat="1"/>
    <w:lsdException w:name="Intense Emphasis" w:semiHidden="1" w:uiPriority="69" w:qFormat="1"/>
    <w:lsdException w:name="Subtle Reference" w:semiHidden="1" w:uiPriority="69" w:qFormat="1"/>
    <w:lsdException w:name="Intense Reference" w:semiHidden="1" w:uiPriority="69" w:qFormat="1"/>
    <w:lsdException w:name="Book Title" w:semiHidden="1"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386"/>
    <w:pPr>
      <w:spacing w:after="0"/>
    </w:pPr>
    <w:rPr>
      <w:rFonts w:ascii="Literata" w:hAnsi="Literata"/>
      <w:sz w:val="22"/>
    </w:rPr>
  </w:style>
  <w:style w:type="paragraph" w:styleId="Rubrik1">
    <w:name w:val="heading 1"/>
    <w:basedOn w:val="Normal"/>
    <w:next w:val="Normal"/>
    <w:link w:val="Rubrik1Char"/>
    <w:uiPriority w:val="2"/>
    <w:qFormat/>
    <w:rsid w:val="00D66141"/>
    <w:pPr>
      <w:keepNext/>
      <w:keepLines/>
      <w:spacing w:before="720" w:after="120" w:line="259" w:lineRule="auto"/>
      <w:outlineLvl w:val="0"/>
    </w:pPr>
    <w:rPr>
      <w:rFonts w:asciiTheme="majorHAnsi" w:eastAsiaTheme="majorEastAsia" w:hAnsiTheme="majorHAnsi" w:cstheme="majorBidi"/>
      <w:b/>
      <w:color w:val="307C8E"/>
      <w:sz w:val="44"/>
      <w:szCs w:val="32"/>
    </w:rPr>
  </w:style>
  <w:style w:type="paragraph" w:styleId="Rubrik2">
    <w:name w:val="heading 2"/>
    <w:basedOn w:val="Normal"/>
    <w:next w:val="Normal"/>
    <w:link w:val="Rubrik2Char"/>
    <w:uiPriority w:val="2"/>
    <w:qFormat/>
    <w:rsid w:val="00D66141"/>
    <w:pPr>
      <w:keepNext/>
      <w:keepLines/>
      <w:spacing w:before="480" w:after="120" w:line="264" w:lineRule="auto"/>
      <w:outlineLvl w:val="1"/>
    </w:pPr>
    <w:rPr>
      <w:rFonts w:asciiTheme="majorHAnsi" w:eastAsiaTheme="majorEastAsia" w:hAnsiTheme="majorHAnsi" w:cstheme="majorBidi"/>
      <w:b/>
      <w:color w:val="307C8E"/>
      <w:sz w:val="32"/>
      <w:szCs w:val="26"/>
    </w:rPr>
  </w:style>
  <w:style w:type="paragraph" w:styleId="Rubrik3">
    <w:name w:val="heading 3"/>
    <w:basedOn w:val="Normal"/>
    <w:next w:val="Normal"/>
    <w:link w:val="Rubrik3Char"/>
    <w:uiPriority w:val="2"/>
    <w:qFormat/>
    <w:rsid w:val="00CB6C43"/>
    <w:pPr>
      <w:keepNext/>
      <w:keepLines/>
      <w:spacing w:before="360" w:after="80" w:line="264" w:lineRule="auto"/>
      <w:outlineLvl w:val="2"/>
    </w:pPr>
    <w:rPr>
      <w:rFonts w:asciiTheme="majorHAnsi" w:eastAsiaTheme="majorEastAsia" w:hAnsiTheme="majorHAnsi" w:cstheme="majorBidi"/>
      <w:b/>
      <w:color w:val="000000" w:themeColor="text1"/>
      <w:sz w:val="26"/>
    </w:rPr>
  </w:style>
  <w:style w:type="paragraph" w:styleId="Rubrik4">
    <w:name w:val="heading 4"/>
    <w:basedOn w:val="Normal"/>
    <w:next w:val="Normal"/>
    <w:link w:val="Rubrik4Char"/>
    <w:uiPriority w:val="2"/>
    <w:qFormat/>
    <w:rsid w:val="00EE14C1"/>
    <w:pPr>
      <w:keepNext/>
      <w:keepLines/>
      <w:spacing w:before="360" w:after="40" w:line="240" w:lineRule="auto"/>
      <w:outlineLvl w:val="3"/>
    </w:pPr>
    <w:rPr>
      <w:rFonts w:asciiTheme="majorHAnsi" w:eastAsiaTheme="majorEastAsia" w:hAnsiTheme="majorHAnsi" w:cstheme="majorBidi"/>
      <w:b/>
      <w:iCs/>
      <w:color w:val="000000" w:themeColor="text1"/>
    </w:rPr>
  </w:style>
  <w:style w:type="paragraph" w:styleId="Rubrik5">
    <w:name w:val="heading 5"/>
    <w:basedOn w:val="Normal"/>
    <w:next w:val="Normal"/>
    <w:link w:val="Rubrik5Char"/>
    <w:uiPriority w:val="9"/>
    <w:semiHidden/>
    <w:qFormat/>
    <w:rsid w:val="00EE14C1"/>
    <w:pPr>
      <w:keepNext/>
      <w:keepLines/>
      <w:spacing w:before="40"/>
      <w:outlineLvl w:val="4"/>
    </w:pPr>
    <w:rPr>
      <w:rFonts w:asciiTheme="majorHAnsi" w:eastAsiaTheme="majorEastAsia" w:hAnsiTheme="majorHAnsi" w:cstheme="majorBidi"/>
      <w:color w:val="000000" w:themeColor="text1"/>
    </w:rPr>
  </w:style>
  <w:style w:type="paragraph" w:styleId="Rubrik6">
    <w:name w:val="heading 6"/>
    <w:basedOn w:val="Normal"/>
    <w:next w:val="Normal"/>
    <w:link w:val="Rubrik6Char"/>
    <w:uiPriority w:val="9"/>
    <w:semiHidden/>
    <w:unhideWhenUsed/>
    <w:qFormat/>
    <w:rsid w:val="0002173D"/>
    <w:pPr>
      <w:keepNext/>
      <w:keepLines/>
      <w:tabs>
        <w:tab w:val="num" w:pos="360"/>
      </w:tabs>
      <w:spacing w:before="40"/>
      <w:ind w:left="1152" w:hanging="1152"/>
      <w:outlineLvl w:val="5"/>
    </w:pPr>
    <w:rPr>
      <w:rFonts w:asciiTheme="majorHAnsi" w:eastAsiaTheme="majorEastAsia" w:hAnsiTheme="majorHAnsi" w:cstheme="majorBidi"/>
      <w:color w:val="183D46" w:themeColor="accent1" w:themeShade="7F"/>
    </w:rPr>
  </w:style>
  <w:style w:type="paragraph" w:styleId="Rubrik7">
    <w:name w:val="heading 7"/>
    <w:basedOn w:val="Normal"/>
    <w:next w:val="Normal"/>
    <w:link w:val="Rubrik7Char"/>
    <w:uiPriority w:val="9"/>
    <w:semiHidden/>
    <w:unhideWhenUsed/>
    <w:qFormat/>
    <w:rsid w:val="0002173D"/>
    <w:pPr>
      <w:keepNext/>
      <w:keepLines/>
      <w:tabs>
        <w:tab w:val="num" w:pos="360"/>
      </w:tabs>
      <w:spacing w:before="40"/>
      <w:ind w:left="1296" w:hanging="1296"/>
      <w:outlineLvl w:val="6"/>
    </w:pPr>
    <w:rPr>
      <w:rFonts w:asciiTheme="majorHAnsi" w:eastAsiaTheme="majorEastAsia" w:hAnsiTheme="majorHAnsi" w:cstheme="majorBidi"/>
      <w:i/>
      <w:iCs/>
      <w:color w:val="183D46" w:themeColor="accent1" w:themeShade="7F"/>
    </w:rPr>
  </w:style>
  <w:style w:type="paragraph" w:styleId="Rubrik8">
    <w:name w:val="heading 8"/>
    <w:basedOn w:val="Normal"/>
    <w:next w:val="Normal"/>
    <w:link w:val="Rubrik8Char"/>
    <w:uiPriority w:val="9"/>
    <w:semiHidden/>
    <w:unhideWhenUsed/>
    <w:qFormat/>
    <w:rsid w:val="0002173D"/>
    <w:pPr>
      <w:keepNext/>
      <w:keepLines/>
      <w:tabs>
        <w:tab w:val="num" w:pos="360"/>
      </w:tab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02173D"/>
    <w:pPr>
      <w:keepNext/>
      <w:keepLines/>
      <w:tabs>
        <w:tab w:val="num" w:pos="360"/>
      </w:tab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lla">
    <w:name w:val="Källa"/>
    <w:basedOn w:val="Normal"/>
    <w:uiPriority w:val="22"/>
    <w:qFormat/>
    <w:rsid w:val="008F2CA7"/>
    <w:pPr>
      <w:spacing w:line="240" w:lineRule="auto"/>
      <w:contextualSpacing/>
    </w:pPr>
  </w:style>
  <w:style w:type="paragraph" w:customStyle="1" w:styleId="Anmrkning">
    <w:name w:val="Anmärkning"/>
    <w:basedOn w:val="Klla"/>
    <w:uiPriority w:val="22"/>
    <w:qFormat/>
    <w:rsid w:val="00CB6C43"/>
  </w:style>
  <w:style w:type="paragraph" w:customStyle="1" w:styleId="Dokumenttyp">
    <w:name w:val="Dokumenttyp"/>
    <w:basedOn w:val="Normal"/>
    <w:next w:val="Normal"/>
    <w:uiPriority w:val="29"/>
    <w:qFormat/>
    <w:rsid w:val="00CB6C43"/>
    <w:rPr>
      <w:rFonts w:asciiTheme="majorHAnsi" w:hAnsiTheme="majorHAnsi"/>
      <w:b/>
      <w:sz w:val="20"/>
    </w:rPr>
  </w:style>
  <w:style w:type="paragraph" w:customStyle="1" w:styleId="FrvaltningVerksamhet">
    <w:name w:val="Förvaltning/Verksamhet"/>
    <w:basedOn w:val="Dokumenttyp"/>
    <w:next w:val="Normal"/>
    <w:uiPriority w:val="30"/>
    <w:qFormat/>
    <w:rsid w:val="00CB6C43"/>
    <w:rPr>
      <w:sz w:val="36"/>
    </w:rPr>
  </w:style>
  <w:style w:type="paragraph" w:customStyle="1" w:styleId="Avdelning">
    <w:name w:val="Avdelning"/>
    <w:basedOn w:val="FrvaltningVerksamhet"/>
    <w:next w:val="Normal"/>
    <w:uiPriority w:val="30"/>
    <w:qFormat/>
    <w:rsid w:val="00CB6C43"/>
    <w:rPr>
      <w:sz w:val="28"/>
    </w:rPr>
  </w:style>
  <w:style w:type="paragraph" w:styleId="Beskrivning">
    <w:name w:val="caption"/>
    <w:basedOn w:val="Normal"/>
    <w:next w:val="Normal"/>
    <w:uiPriority w:val="35"/>
    <w:unhideWhenUsed/>
    <w:qFormat/>
    <w:rsid w:val="008F2CA7"/>
    <w:pPr>
      <w:spacing w:after="200" w:line="240" w:lineRule="auto"/>
    </w:pPr>
    <w:rPr>
      <w:rFonts w:asciiTheme="majorHAnsi" w:hAnsiTheme="majorHAnsi"/>
      <w:iCs/>
      <w:szCs w:val="18"/>
    </w:rPr>
  </w:style>
  <w:style w:type="paragraph" w:styleId="Datum">
    <w:name w:val="Date"/>
    <w:basedOn w:val="Normal"/>
    <w:next w:val="Normal"/>
    <w:link w:val="DatumChar"/>
    <w:uiPriority w:val="99"/>
    <w:unhideWhenUsed/>
    <w:rsid w:val="00CB6C43"/>
  </w:style>
  <w:style w:type="character" w:customStyle="1" w:styleId="DatumChar">
    <w:name w:val="Datum Char"/>
    <w:basedOn w:val="Standardstycketeckensnitt"/>
    <w:link w:val="Datum"/>
    <w:uiPriority w:val="99"/>
    <w:rsid w:val="00CB6C43"/>
    <w:rPr>
      <w:sz w:val="24"/>
      <w:szCs w:val="24"/>
    </w:rPr>
  </w:style>
  <w:style w:type="character" w:customStyle="1" w:styleId="Rubrik3Char">
    <w:name w:val="Rubrik 3 Char"/>
    <w:basedOn w:val="Standardstycketeckensnitt"/>
    <w:link w:val="Rubrik3"/>
    <w:uiPriority w:val="2"/>
    <w:rsid w:val="00CB6C43"/>
    <w:rPr>
      <w:rFonts w:asciiTheme="majorHAnsi" w:eastAsiaTheme="majorEastAsia" w:hAnsiTheme="majorHAnsi" w:cstheme="majorBidi"/>
      <w:b/>
      <w:color w:val="000000" w:themeColor="text1"/>
      <w:sz w:val="26"/>
      <w:szCs w:val="24"/>
    </w:rPr>
  </w:style>
  <w:style w:type="paragraph" w:customStyle="1" w:styleId="Diagramrubrik">
    <w:name w:val="Diagramrubrik"/>
    <w:basedOn w:val="Rubrik3"/>
    <w:next w:val="Normal"/>
    <w:uiPriority w:val="14"/>
    <w:qFormat/>
    <w:rsid w:val="00D66141"/>
    <w:pPr>
      <w:numPr>
        <w:numId w:val="15"/>
      </w:numPr>
      <w:spacing w:before="240"/>
    </w:pPr>
    <w:rPr>
      <w:color w:val="307C8E"/>
      <w:sz w:val="22"/>
    </w:rPr>
  </w:style>
  <w:style w:type="paragraph" w:customStyle="1" w:styleId="Enhet">
    <w:name w:val="Enhet"/>
    <w:basedOn w:val="Normal"/>
    <w:uiPriority w:val="22"/>
    <w:qFormat/>
    <w:rsid w:val="00CB6C43"/>
    <w:pPr>
      <w:keepNext/>
      <w:spacing w:line="240" w:lineRule="auto"/>
    </w:pPr>
  </w:style>
  <w:style w:type="character" w:styleId="Fotnotsreferens">
    <w:name w:val="footnote reference"/>
    <w:basedOn w:val="Standardstycketeckensnitt"/>
    <w:uiPriority w:val="99"/>
    <w:semiHidden/>
    <w:unhideWhenUsed/>
    <w:rsid w:val="00CB6C43"/>
    <w:rPr>
      <w:vertAlign w:val="superscript"/>
    </w:rPr>
  </w:style>
  <w:style w:type="paragraph" w:styleId="Fotnotstext">
    <w:name w:val="footnote text"/>
    <w:basedOn w:val="Normal"/>
    <w:link w:val="FotnotstextChar"/>
    <w:uiPriority w:val="99"/>
    <w:semiHidden/>
    <w:unhideWhenUsed/>
    <w:rsid w:val="00CB6C43"/>
    <w:pPr>
      <w:spacing w:line="240" w:lineRule="auto"/>
    </w:pPr>
    <w:rPr>
      <w:sz w:val="20"/>
      <w:szCs w:val="20"/>
    </w:rPr>
  </w:style>
  <w:style w:type="character" w:customStyle="1" w:styleId="FotnotstextChar">
    <w:name w:val="Fotnotstext Char"/>
    <w:basedOn w:val="Standardstycketeckensnitt"/>
    <w:link w:val="Fotnotstext"/>
    <w:uiPriority w:val="99"/>
    <w:semiHidden/>
    <w:rsid w:val="00CB6C43"/>
    <w:rPr>
      <w:sz w:val="20"/>
      <w:szCs w:val="20"/>
    </w:rPr>
  </w:style>
  <w:style w:type="character" w:styleId="Hyperlnk">
    <w:name w:val="Hyperlink"/>
    <w:basedOn w:val="Standardstycketeckensnitt"/>
    <w:uiPriority w:val="99"/>
    <w:unhideWhenUsed/>
    <w:rsid w:val="00DF56C0"/>
    <w:rPr>
      <w:color w:val="000000" w:themeColor="text1"/>
      <w:u w:val="single"/>
    </w:rPr>
  </w:style>
  <w:style w:type="paragraph" w:customStyle="1" w:styleId="Informationstext">
    <w:name w:val="Informationstext"/>
    <w:basedOn w:val="Normal"/>
    <w:uiPriority w:val="30"/>
    <w:qFormat/>
    <w:rsid w:val="00CB6C43"/>
    <w:rPr>
      <w:rFonts w:ascii="Arial" w:hAnsi="Arial"/>
      <w:sz w:val="20"/>
    </w:rPr>
  </w:style>
  <w:style w:type="paragraph" w:styleId="Ingetavstnd">
    <w:name w:val="No Spacing"/>
    <w:uiPriority w:val="1"/>
    <w:qFormat/>
    <w:rsid w:val="00944D63"/>
    <w:pPr>
      <w:spacing w:after="0" w:line="240" w:lineRule="auto"/>
    </w:pPr>
    <w:rPr>
      <w:rFonts w:ascii="Arial" w:hAnsi="Arial"/>
      <w:b/>
      <w:sz w:val="26"/>
    </w:rPr>
  </w:style>
  <w:style w:type="paragraph" w:styleId="Innehll1">
    <w:name w:val="toc 1"/>
    <w:basedOn w:val="Normal"/>
    <w:next w:val="Normal"/>
    <w:autoRedefine/>
    <w:uiPriority w:val="39"/>
    <w:unhideWhenUsed/>
    <w:rsid w:val="00CB6C43"/>
    <w:pPr>
      <w:tabs>
        <w:tab w:val="right" w:leader="dot" w:pos="7360"/>
      </w:tabs>
      <w:spacing w:after="100"/>
    </w:pPr>
  </w:style>
  <w:style w:type="paragraph" w:styleId="Innehll2">
    <w:name w:val="toc 2"/>
    <w:basedOn w:val="Normal"/>
    <w:next w:val="Normal"/>
    <w:autoRedefine/>
    <w:uiPriority w:val="39"/>
    <w:unhideWhenUsed/>
    <w:rsid w:val="00CB6C43"/>
    <w:pPr>
      <w:spacing w:after="100"/>
      <w:ind w:left="238"/>
      <w:contextualSpacing/>
    </w:pPr>
  </w:style>
  <w:style w:type="paragraph" w:styleId="Innehll3">
    <w:name w:val="toc 3"/>
    <w:basedOn w:val="Normal"/>
    <w:next w:val="Normal"/>
    <w:autoRedefine/>
    <w:uiPriority w:val="39"/>
    <w:unhideWhenUsed/>
    <w:rsid w:val="00CB6C43"/>
    <w:pPr>
      <w:spacing w:after="100"/>
      <w:ind w:left="482"/>
      <w:contextualSpacing/>
    </w:pPr>
  </w:style>
  <w:style w:type="character" w:customStyle="1" w:styleId="Rubrik1Char">
    <w:name w:val="Rubrik 1 Char"/>
    <w:basedOn w:val="Standardstycketeckensnitt"/>
    <w:link w:val="Rubrik1"/>
    <w:uiPriority w:val="2"/>
    <w:rsid w:val="00D66141"/>
    <w:rPr>
      <w:rFonts w:asciiTheme="majorHAnsi" w:eastAsiaTheme="majorEastAsia" w:hAnsiTheme="majorHAnsi" w:cstheme="majorBidi"/>
      <w:b/>
      <w:color w:val="307C8E"/>
      <w:sz w:val="44"/>
      <w:szCs w:val="32"/>
    </w:rPr>
  </w:style>
  <w:style w:type="paragraph" w:styleId="Innehllsfrteckningsrubrik">
    <w:name w:val="TOC Heading"/>
    <w:basedOn w:val="Rubrik1"/>
    <w:next w:val="Normal"/>
    <w:uiPriority w:val="39"/>
    <w:unhideWhenUsed/>
    <w:qFormat/>
    <w:rsid w:val="00D66141"/>
    <w:pPr>
      <w:spacing w:before="240" w:after="360" w:line="288" w:lineRule="auto"/>
      <w:outlineLvl w:val="9"/>
    </w:pPr>
  </w:style>
  <w:style w:type="paragraph" w:styleId="Lista">
    <w:name w:val="List"/>
    <w:basedOn w:val="Normal"/>
    <w:uiPriority w:val="7"/>
    <w:rsid w:val="00DF56C0"/>
    <w:pPr>
      <w:numPr>
        <w:numId w:val="3"/>
      </w:numPr>
      <w:ind w:left="357" w:hanging="357"/>
    </w:pPr>
  </w:style>
  <w:style w:type="numbering" w:customStyle="1" w:styleId="listformat-abc">
    <w:name w:val="listformat-abc"/>
    <w:uiPriority w:val="99"/>
    <w:rsid w:val="00CB6C43"/>
    <w:pPr>
      <w:numPr>
        <w:numId w:val="2"/>
      </w:numPr>
    </w:pPr>
  </w:style>
  <w:style w:type="numbering" w:customStyle="1" w:styleId="listformat-diagramrubrik">
    <w:name w:val="listformat-diagramrubrik"/>
    <w:uiPriority w:val="99"/>
    <w:rsid w:val="00CB6C43"/>
    <w:pPr>
      <w:numPr>
        <w:numId w:val="4"/>
      </w:numPr>
    </w:pPr>
  </w:style>
  <w:style w:type="numbering" w:customStyle="1" w:styleId="listformat-numrerad">
    <w:name w:val="listformat-numrerad"/>
    <w:uiPriority w:val="99"/>
    <w:rsid w:val="00CB6C43"/>
    <w:pPr>
      <w:numPr>
        <w:numId w:val="5"/>
      </w:numPr>
    </w:pPr>
  </w:style>
  <w:style w:type="numbering" w:customStyle="1" w:styleId="listformat-punkt">
    <w:name w:val="listformat-punkt"/>
    <w:uiPriority w:val="99"/>
    <w:rsid w:val="00CB6C43"/>
    <w:pPr>
      <w:numPr>
        <w:numId w:val="6"/>
      </w:numPr>
    </w:pPr>
  </w:style>
  <w:style w:type="numbering" w:customStyle="1" w:styleId="listformat-rubriknummer">
    <w:name w:val="listformat-rubriknummer"/>
    <w:uiPriority w:val="99"/>
    <w:rsid w:val="00CB6C43"/>
    <w:pPr>
      <w:numPr>
        <w:numId w:val="7"/>
      </w:numPr>
    </w:pPr>
  </w:style>
  <w:style w:type="numbering" w:customStyle="1" w:styleId="listformat-streck">
    <w:name w:val="listformat-streck"/>
    <w:uiPriority w:val="99"/>
    <w:rsid w:val="00CB6C43"/>
    <w:pPr>
      <w:numPr>
        <w:numId w:val="8"/>
      </w:numPr>
    </w:pPr>
  </w:style>
  <w:style w:type="numbering" w:customStyle="1" w:styleId="listformat-tabellrubrik">
    <w:name w:val="listformat-tabellrubrik"/>
    <w:rsid w:val="00CB6C43"/>
    <w:pPr>
      <w:numPr>
        <w:numId w:val="9"/>
      </w:numPr>
    </w:pPr>
  </w:style>
  <w:style w:type="paragraph" w:customStyle="1" w:styleId="Normalmedavstndfre">
    <w:name w:val="Normal med avstånd före"/>
    <w:basedOn w:val="Normal"/>
    <w:next w:val="Normal"/>
    <w:qFormat/>
    <w:rsid w:val="00CB6C43"/>
    <w:pPr>
      <w:spacing w:before="160"/>
    </w:pPr>
  </w:style>
  <w:style w:type="paragraph" w:styleId="Numreradlista">
    <w:name w:val="List Number"/>
    <w:basedOn w:val="Normal"/>
    <w:uiPriority w:val="6"/>
    <w:rsid w:val="00DF56C0"/>
    <w:pPr>
      <w:numPr>
        <w:numId w:val="10"/>
      </w:numPr>
    </w:pPr>
  </w:style>
  <w:style w:type="character" w:styleId="Platshllartext">
    <w:name w:val="Placeholder Text"/>
    <w:basedOn w:val="Standardstycketeckensnitt"/>
    <w:uiPriority w:val="99"/>
    <w:semiHidden/>
    <w:rsid w:val="00D0774D"/>
    <w:rPr>
      <w:color w:val="595959" w:themeColor="text1" w:themeTint="A6"/>
    </w:rPr>
  </w:style>
  <w:style w:type="paragraph" w:styleId="Punktlista">
    <w:name w:val="List Bullet"/>
    <w:basedOn w:val="Normal"/>
    <w:uiPriority w:val="5"/>
    <w:rsid w:val="00DF56C0"/>
    <w:pPr>
      <w:numPr>
        <w:numId w:val="11"/>
      </w:numPr>
    </w:pPr>
  </w:style>
  <w:style w:type="paragraph" w:styleId="Rubrik">
    <w:name w:val="Title"/>
    <w:basedOn w:val="Normal"/>
    <w:next w:val="Normal"/>
    <w:link w:val="RubrikChar"/>
    <w:uiPriority w:val="4"/>
    <w:qFormat/>
    <w:rsid w:val="00644BAE"/>
    <w:pPr>
      <w:spacing w:before="1680" w:after="360" w:line="240" w:lineRule="auto"/>
      <w:contextualSpacing/>
      <w:outlineLvl w:val="0"/>
    </w:pPr>
    <w:rPr>
      <w:rFonts w:asciiTheme="majorHAnsi" w:eastAsiaTheme="majorEastAsia" w:hAnsiTheme="majorHAnsi" w:cstheme="majorBidi"/>
      <w:b/>
      <w:color w:val="FDF9E4"/>
      <w:spacing w:val="-10"/>
      <w:kern w:val="28"/>
      <w:sz w:val="84"/>
      <w:szCs w:val="56"/>
    </w:rPr>
  </w:style>
  <w:style w:type="character" w:customStyle="1" w:styleId="RubrikChar">
    <w:name w:val="Rubrik Char"/>
    <w:basedOn w:val="Standardstycketeckensnitt"/>
    <w:link w:val="Rubrik"/>
    <w:uiPriority w:val="4"/>
    <w:rsid w:val="00644BAE"/>
    <w:rPr>
      <w:rFonts w:asciiTheme="majorHAnsi" w:eastAsiaTheme="majorEastAsia" w:hAnsiTheme="majorHAnsi" w:cstheme="majorBidi"/>
      <w:b/>
      <w:color w:val="FDF9E4"/>
      <w:spacing w:val="-10"/>
      <w:kern w:val="28"/>
      <w:sz w:val="84"/>
      <w:szCs w:val="56"/>
    </w:rPr>
  </w:style>
  <w:style w:type="paragraph" w:customStyle="1" w:styleId="Rubrik1-numrerad">
    <w:name w:val="Rubrik 1 - numrerad"/>
    <w:basedOn w:val="Rubrik1"/>
    <w:next w:val="Normal"/>
    <w:uiPriority w:val="3"/>
    <w:qFormat/>
    <w:rsid w:val="00CB6C43"/>
    <w:pPr>
      <w:numPr>
        <w:numId w:val="12"/>
      </w:numPr>
    </w:pPr>
  </w:style>
  <w:style w:type="character" w:customStyle="1" w:styleId="Rubrik2Char">
    <w:name w:val="Rubrik 2 Char"/>
    <w:basedOn w:val="Standardstycketeckensnitt"/>
    <w:link w:val="Rubrik2"/>
    <w:uiPriority w:val="2"/>
    <w:rsid w:val="00D66141"/>
    <w:rPr>
      <w:rFonts w:asciiTheme="majorHAnsi" w:eastAsiaTheme="majorEastAsia" w:hAnsiTheme="majorHAnsi" w:cstheme="majorBidi"/>
      <w:b/>
      <w:color w:val="307C8E"/>
      <w:sz w:val="32"/>
      <w:szCs w:val="26"/>
    </w:rPr>
  </w:style>
  <w:style w:type="paragraph" w:customStyle="1" w:styleId="Rubrik2-numrerad">
    <w:name w:val="Rubrik 2 - numrerad"/>
    <w:basedOn w:val="Rubrik2"/>
    <w:next w:val="Normal"/>
    <w:uiPriority w:val="3"/>
    <w:qFormat/>
    <w:rsid w:val="00CB6C43"/>
    <w:pPr>
      <w:numPr>
        <w:ilvl w:val="1"/>
        <w:numId w:val="12"/>
      </w:numPr>
    </w:pPr>
  </w:style>
  <w:style w:type="paragraph" w:customStyle="1" w:styleId="Rubrik3-numrerad">
    <w:name w:val="Rubrik 3 - numrerad"/>
    <w:basedOn w:val="Rubrik3"/>
    <w:next w:val="Normal"/>
    <w:uiPriority w:val="3"/>
    <w:qFormat/>
    <w:rsid w:val="00CB6C43"/>
    <w:pPr>
      <w:numPr>
        <w:ilvl w:val="2"/>
        <w:numId w:val="12"/>
      </w:numPr>
    </w:pPr>
  </w:style>
  <w:style w:type="character" w:customStyle="1" w:styleId="Rubrik4Char">
    <w:name w:val="Rubrik 4 Char"/>
    <w:basedOn w:val="Standardstycketeckensnitt"/>
    <w:link w:val="Rubrik4"/>
    <w:uiPriority w:val="2"/>
    <w:rsid w:val="00EE14C1"/>
    <w:rPr>
      <w:rFonts w:asciiTheme="majorHAnsi" w:eastAsiaTheme="majorEastAsia" w:hAnsiTheme="majorHAnsi" w:cstheme="majorBidi"/>
      <w:b/>
      <w:iCs/>
      <w:color w:val="000000" w:themeColor="text1"/>
      <w:sz w:val="22"/>
    </w:rPr>
  </w:style>
  <w:style w:type="paragraph" w:customStyle="1" w:styleId="Rubrik4-numrerad">
    <w:name w:val="Rubrik 4 - numrerad"/>
    <w:basedOn w:val="Rubrik4"/>
    <w:next w:val="Normal"/>
    <w:uiPriority w:val="3"/>
    <w:qFormat/>
    <w:rsid w:val="00CB6C43"/>
    <w:pPr>
      <w:numPr>
        <w:ilvl w:val="3"/>
        <w:numId w:val="12"/>
      </w:numPr>
    </w:pPr>
  </w:style>
  <w:style w:type="table" w:styleId="Rutntstabell4dekorfrg1">
    <w:name w:val="Grid Table 4 Accent 1"/>
    <w:basedOn w:val="Normaltabell"/>
    <w:uiPriority w:val="49"/>
    <w:rsid w:val="00CB6C43"/>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CB6C43"/>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CB6C43"/>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CB6C43"/>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CB6C43"/>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CB6C43"/>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paragraph" w:styleId="Sidfot">
    <w:name w:val="footer"/>
    <w:basedOn w:val="Normal"/>
    <w:link w:val="SidfotChar"/>
    <w:uiPriority w:val="99"/>
    <w:unhideWhenUsed/>
    <w:rsid w:val="0061279B"/>
    <w:pPr>
      <w:tabs>
        <w:tab w:val="center" w:pos="4513"/>
        <w:tab w:val="right" w:pos="9026"/>
      </w:tabs>
      <w:spacing w:line="240" w:lineRule="auto"/>
    </w:pPr>
    <w:rPr>
      <w:rFonts w:ascii="Arial" w:hAnsi="Arial"/>
      <w:sz w:val="20"/>
    </w:rPr>
  </w:style>
  <w:style w:type="character" w:customStyle="1" w:styleId="SidfotChar">
    <w:name w:val="Sidfot Char"/>
    <w:basedOn w:val="Standardstycketeckensnitt"/>
    <w:link w:val="Sidfot"/>
    <w:uiPriority w:val="99"/>
    <w:rsid w:val="0061279B"/>
    <w:rPr>
      <w:rFonts w:ascii="Arial" w:hAnsi="Arial"/>
      <w:sz w:val="20"/>
    </w:rPr>
  </w:style>
  <w:style w:type="paragraph" w:styleId="Sidhuvud">
    <w:name w:val="header"/>
    <w:basedOn w:val="Normal"/>
    <w:link w:val="SidhuvudChar"/>
    <w:uiPriority w:val="99"/>
    <w:unhideWhenUsed/>
    <w:rsid w:val="0061279B"/>
    <w:pPr>
      <w:tabs>
        <w:tab w:val="center" w:pos="4513"/>
        <w:tab w:val="right" w:pos="9026"/>
      </w:tabs>
      <w:spacing w:line="240" w:lineRule="auto"/>
      <w:ind w:right="-1134"/>
    </w:pPr>
    <w:rPr>
      <w:rFonts w:asciiTheme="majorHAnsi" w:hAnsiTheme="majorHAnsi"/>
      <w:sz w:val="20"/>
    </w:rPr>
  </w:style>
  <w:style w:type="character" w:customStyle="1" w:styleId="SidhuvudChar">
    <w:name w:val="Sidhuvud Char"/>
    <w:basedOn w:val="Standardstycketeckensnitt"/>
    <w:link w:val="Sidhuvud"/>
    <w:uiPriority w:val="99"/>
    <w:rsid w:val="0061279B"/>
    <w:rPr>
      <w:rFonts w:asciiTheme="majorHAnsi" w:hAnsiTheme="majorHAnsi"/>
      <w:sz w:val="20"/>
    </w:rPr>
  </w:style>
  <w:style w:type="character" w:styleId="Sidnummer">
    <w:name w:val="page number"/>
    <w:basedOn w:val="Standardstycketeckensnitt"/>
    <w:uiPriority w:val="99"/>
    <w:unhideWhenUsed/>
    <w:rsid w:val="00CB6C43"/>
  </w:style>
  <w:style w:type="paragraph" w:customStyle="1" w:styleId="Strecklista">
    <w:name w:val="Strecklista"/>
    <w:basedOn w:val="Normal"/>
    <w:uiPriority w:val="5"/>
    <w:qFormat/>
    <w:rsid w:val="00DF56C0"/>
    <w:pPr>
      <w:numPr>
        <w:numId w:val="13"/>
      </w:numPr>
      <w:ind w:left="357" w:hanging="357"/>
    </w:pPr>
  </w:style>
  <w:style w:type="paragraph" w:customStyle="1" w:styleId="Tabell-text">
    <w:name w:val="Tabell - text"/>
    <w:basedOn w:val="Normal"/>
    <w:uiPriority w:val="20"/>
    <w:qFormat/>
    <w:rsid w:val="00DF56C0"/>
    <w:pPr>
      <w:spacing w:before="20" w:after="20"/>
    </w:pPr>
    <w:rPr>
      <w:rFonts w:asciiTheme="majorHAnsi" w:hAnsiTheme="majorHAnsi"/>
      <w:color w:val="000000" w:themeColor="text1"/>
    </w:rPr>
  </w:style>
  <w:style w:type="paragraph" w:customStyle="1" w:styleId="Tabell-kolumnrubrik">
    <w:name w:val="Tabell - kolumnrubrik"/>
    <w:basedOn w:val="Tabell-text"/>
    <w:uiPriority w:val="21"/>
    <w:qFormat/>
    <w:rsid w:val="00DF56C0"/>
    <w:pPr>
      <w:jc w:val="center"/>
    </w:pPr>
    <w:rPr>
      <w:b/>
    </w:rPr>
  </w:style>
  <w:style w:type="paragraph" w:customStyle="1" w:styleId="Tabell-rubrik">
    <w:name w:val="Tabell - rubrik"/>
    <w:basedOn w:val="Rubrik3"/>
    <w:next w:val="Normal"/>
    <w:uiPriority w:val="19"/>
    <w:qFormat/>
    <w:rsid w:val="00D66141"/>
    <w:pPr>
      <w:numPr>
        <w:numId w:val="14"/>
      </w:numPr>
      <w:spacing w:before="240"/>
    </w:pPr>
    <w:rPr>
      <w:color w:val="307C8E"/>
      <w:sz w:val="22"/>
    </w:rPr>
  </w:style>
  <w:style w:type="paragraph" w:customStyle="1" w:styleId="Tabell-siffror">
    <w:name w:val="Tabell - siffror"/>
    <w:basedOn w:val="Tabell-text"/>
    <w:uiPriority w:val="21"/>
    <w:qFormat/>
    <w:rsid w:val="00DF56C0"/>
    <w:pPr>
      <w:jc w:val="center"/>
    </w:pPr>
  </w:style>
  <w:style w:type="table" w:styleId="Tabellrutnt">
    <w:name w:val="Table Grid"/>
    <w:basedOn w:val="Normaltabell"/>
    <w:rsid w:val="00CB6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4"/>
    <w:qFormat/>
    <w:rsid w:val="00644BAE"/>
    <w:pPr>
      <w:numPr>
        <w:ilvl w:val="1"/>
      </w:numPr>
      <w:outlineLvl w:val="1"/>
    </w:pPr>
    <w:rPr>
      <w:rFonts w:asciiTheme="majorHAnsi" w:eastAsiaTheme="minorEastAsia" w:hAnsiTheme="majorHAnsi"/>
      <w:b/>
      <w:color w:val="FDF9E4"/>
      <w:spacing w:val="15"/>
      <w:sz w:val="44"/>
    </w:rPr>
  </w:style>
  <w:style w:type="character" w:customStyle="1" w:styleId="UnderrubrikChar">
    <w:name w:val="Underrubrik Char"/>
    <w:basedOn w:val="Standardstycketeckensnitt"/>
    <w:link w:val="Underrubrik"/>
    <w:uiPriority w:val="4"/>
    <w:rsid w:val="00644BAE"/>
    <w:rPr>
      <w:rFonts w:asciiTheme="majorHAnsi" w:eastAsiaTheme="minorEastAsia" w:hAnsiTheme="majorHAnsi"/>
      <w:b/>
      <w:color w:val="FDF9E4"/>
      <w:spacing w:val="15"/>
      <w:sz w:val="44"/>
    </w:rPr>
  </w:style>
  <w:style w:type="character" w:customStyle="1" w:styleId="Rubrik5Char">
    <w:name w:val="Rubrik 5 Char"/>
    <w:basedOn w:val="Standardstycketeckensnitt"/>
    <w:link w:val="Rubrik5"/>
    <w:uiPriority w:val="9"/>
    <w:semiHidden/>
    <w:rsid w:val="00EE14C1"/>
    <w:rPr>
      <w:rFonts w:asciiTheme="majorHAnsi" w:eastAsiaTheme="majorEastAsia" w:hAnsiTheme="majorHAnsi" w:cstheme="majorBidi"/>
      <w:color w:val="000000" w:themeColor="text1"/>
      <w:sz w:val="22"/>
    </w:rPr>
  </w:style>
  <w:style w:type="paragraph" w:styleId="Liststycke">
    <w:name w:val="List Paragraph"/>
    <w:basedOn w:val="Normal"/>
    <w:uiPriority w:val="34"/>
    <w:qFormat/>
    <w:rsid w:val="00486A8C"/>
    <w:pPr>
      <w:ind w:left="720"/>
      <w:contextualSpacing/>
    </w:pPr>
  </w:style>
  <w:style w:type="character" w:styleId="Kommentarsreferens">
    <w:name w:val="annotation reference"/>
    <w:basedOn w:val="Standardstycketeckensnitt"/>
    <w:uiPriority w:val="99"/>
    <w:semiHidden/>
    <w:unhideWhenUsed/>
    <w:rsid w:val="008E4150"/>
    <w:rPr>
      <w:sz w:val="16"/>
      <w:szCs w:val="16"/>
    </w:rPr>
  </w:style>
  <w:style w:type="paragraph" w:styleId="Kommentarer">
    <w:name w:val="annotation text"/>
    <w:basedOn w:val="Normal"/>
    <w:link w:val="KommentarerChar"/>
    <w:uiPriority w:val="99"/>
    <w:unhideWhenUsed/>
    <w:rsid w:val="008E4150"/>
    <w:pPr>
      <w:spacing w:line="240" w:lineRule="auto"/>
    </w:pPr>
    <w:rPr>
      <w:sz w:val="20"/>
      <w:szCs w:val="20"/>
    </w:rPr>
  </w:style>
  <w:style w:type="character" w:customStyle="1" w:styleId="KommentarerChar">
    <w:name w:val="Kommentarer Char"/>
    <w:basedOn w:val="Standardstycketeckensnitt"/>
    <w:link w:val="Kommentarer"/>
    <w:uiPriority w:val="99"/>
    <w:rsid w:val="008E4150"/>
    <w:rPr>
      <w:sz w:val="20"/>
      <w:szCs w:val="20"/>
    </w:rPr>
  </w:style>
  <w:style w:type="paragraph" w:styleId="Kommentarsmne">
    <w:name w:val="annotation subject"/>
    <w:basedOn w:val="Kommentarer"/>
    <w:next w:val="Kommentarer"/>
    <w:link w:val="KommentarsmneChar"/>
    <w:uiPriority w:val="99"/>
    <w:semiHidden/>
    <w:unhideWhenUsed/>
    <w:rsid w:val="008E4150"/>
    <w:rPr>
      <w:b/>
      <w:bCs/>
    </w:rPr>
  </w:style>
  <w:style w:type="character" w:customStyle="1" w:styleId="KommentarsmneChar">
    <w:name w:val="Kommentarsämne Char"/>
    <w:basedOn w:val="KommentarerChar"/>
    <w:link w:val="Kommentarsmne"/>
    <w:uiPriority w:val="99"/>
    <w:semiHidden/>
    <w:rsid w:val="008E4150"/>
    <w:rPr>
      <w:b/>
      <w:bCs/>
      <w:sz w:val="20"/>
      <w:szCs w:val="20"/>
    </w:rPr>
  </w:style>
  <w:style w:type="paragraph" w:customStyle="1" w:styleId="paragraph">
    <w:name w:val="paragraph"/>
    <w:basedOn w:val="Normal"/>
    <w:rsid w:val="00F31D36"/>
    <w:pPr>
      <w:spacing w:before="100" w:beforeAutospacing="1" w:after="100" w:afterAutospacing="1" w:line="240" w:lineRule="auto"/>
    </w:pPr>
    <w:rPr>
      <w:rFonts w:ascii="Calibri" w:hAnsi="Calibri" w:cs="Calibri"/>
      <w:szCs w:val="22"/>
      <w:lang w:eastAsia="sv-SE"/>
    </w:rPr>
  </w:style>
  <w:style w:type="character" w:customStyle="1" w:styleId="normaltextrun">
    <w:name w:val="normaltextrun"/>
    <w:basedOn w:val="Standardstycketeckensnitt"/>
    <w:rsid w:val="00F31D36"/>
  </w:style>
  <w:style w:type="character" w:customStyle="1" w:styleId="eop">
    <w:name w:val="eop"/>
    <w:basedOn w:val="Standardstycketeckensnitt"/>
    <w:rsid w:val="00F31D36"/>
  </w:style>
  <w:style w:type="paragraph" w:customStyle="1" w:styleId="Brdtextinlaga">
    <w:name w:val="Brödtext inlaga"/>
    <w:basedOn w:val="Innehll2"/>
    <w:link w:val="BrdtextinlagaChar"/>
    <w:qFormat/>
    <w:rsid w:val="00016907"/>
    <w:pPr>
      <w:tabs>
        <w:tab w:val="right" w:leader="dot" w:pos="9056"/>
      </w:tabs>
      <w:spacing w:after="0" w:line="240" w:lineRule="auto"/>
      <w:ind w:left="0"/>
      <w:contextualSpacing w:val="0"/>
    </w:pPr>
    <w:rPr>
      <w:rFonts w:ascii="Times New Roman" w:eastAsiaTheme="minorEastAsia" w:hAnsi="Times New Roman"/>
      <w:color w:val="E40135" w:themeColor="accent3"/>
      <w:lang w:eastAsia="sv-SE"/>
    </w:rPr>
  </w:style>
  <w:style w:type="character" w:customStyle="1" w:styleId="BrdtextinlagaChar">
    <w:name w:val="Brödtext inlaga Char"/>
    <w:basedOn w:val="Standardstycketeckensnitt"/>
    <w:link w:val="Brdtextinlaga"/>
    <w:rsid w:val="00016907"/>
    <w:rPr>
      <w:rFonts w:ascii="Times New Roman" w:eastAsiaTheme="minorEastAsia" w:hAnsi="Times New Roman"/>
      <w:color w:val="E40135" w:themeColor="accent3"/>
      <w:sz w:val="22"/>
      <w:lang w:eastAsia="sv-SE"/>
    </w:rPr>
  </w:style>
  <w:style w:type="paragraph" w:customStyle="1" w:styleId="Bildtabellbeskrivning">
    <w:name w:val="Bild/tabellbeskrivning"/>
    <w:basedOn w:val="Brdtextinlaga"/>
    <w:link w:val="BildtabellbeskrivningChar"/>
    <w:qFormat/>
    <w:rsid w:val="003F56B8"/>
    <w:rPr>
      <w:i/>
      <w:color w:val="808080" w:themeColor="background1" w:themeShade="80"/>
      <w:sz w:val="16"/>
    </w:rPr>
  </w:style>
  <w:style w:type="character" w:customStyle="1" w:styleId="BildtabellbeskrivningChar">
    <w:name w:val="Bild/tabellbeskrivning Char"/>
    <w:basedOn w:val="BrdtextinlagaChar"/>
    <w:link w:val="Bildtabellbeskrivning"/>
    <w:rsid w:val="003F56B8"/>
    <w:rPr>
      <w:rFonts w:ascii="Times New Roman" w:eastAsiaTheme="minorEastAsia" w:hAnsi="Times New Roman"/>
      <w:i/>
      <w:color w:val="808080" w:themeColor="background1" w:themeShade="80"/>
      <w:sz w:val="16"/>
      <w:lang w:eastAsia="sv-SE"/>
    </w:rPr>
  </w:style>
  <w:style w:type="paragraph" w:customStyle="1" w:styleId="Default">
    <w:name w:val="Default"/>
    <w:rsid w:val="00801B93"/>
    <w:pPr>
      <w:autoSpaceDE w:val="0"/>
      <w:autoSpaceDN w:val="0"/>
      <w:adjustRightInd w:val="0"/>
      <w:spacing w:after="0" w:line="240" w:lineRule="auto"/>
    </w:pPr>
    <w:rPr>
      <w:rFonts w:ascii="Calibri" w:hAnsi="Calibri" w:cs="Calibri"/>
      <w:color w:val="000000"/>
    </w:rPr>
  </w:style>
  <w:style w:type="paragraph" w:styleId="Normalwebb">
    <w:name w:val="Normal (Web)"/>
    <w:basedOn w:val="Normal"/>
    <w:uiPriority w:val="99"/>
    <w:unhideWhenUsed/>
    <w:rsid w:val="00D01EAA"/>
    <w:pPr>
      <w:spacing w:before="100" w:beforeAutospacing="1" w:after="100" w:afterAutospacing="1" w:line="240" w:lineRule="auto"/>
    </w:pPr>
    <w:rPr>
      <w:rFonts w:ascii="Times New Roman" w:eastAsia="Times New Roman" w:hAnsi="Times New Roman" w:cs="Times New Roman"/>
      <w:lang w:eastAsia="sv-SE"/>
    </w:rPr>
  </w:style>
  <w:style w:type="character" w:customStyle="1" w:styleId="findhit">
    <w:name w:val="findhit"/>
    <w:basedOn w:val="Standardstycketeckensnitt"/>
    <w:rsid w:val="007B6D3E"/>
  </w:style>
  <w:style w:type="paragraph" w:styleId="Revision">
    <w:name w:val="Revision"/>
    <w:hidden/>
    <w:uiPriority w:val="99"/>
    <w:semiHidden/>
    <w:rsid w:val="006C6C97"/>
    <w:pPr>
      <w:spacing w:after="0" w:line="240" w:lineRule="auto"/>
    </w:pPr>
  </w:style>
  <w:style w:type="character" w:customStyle="1" w:styleId="Rubrik6Char">
    <w:name w:val="Rubrik 6 Char"/>
    <w:basedOn w:val="Standardstycketeckensnitt"/>
    <w:link w:val="Rubrik6"/>
    <w:uiPriority w:val="9"/>
    <w:semiHidden/>
    <w:rsid w:val="0002173D"/>
    <w:rPr>
      <w:rFonts w:asciiTheme="majorHAnsi" w:eastAsiaTheme="majorEastAsia" w:hAnsiTheme="majorHAnsi" w:cstheme="majorBidi"/>
      <w:color w:val="183D46" w:themeColor="accent1" w:themeShade="7F"/>
    </w:rPr>
  </w:style>
  <w:style w:type="character" w:customStyle="1" w:styleId="Rubrik7Char">
    <w:name w:val="Rubrik 7 Char"/>
    <w:basedOn w:val="Standardstycketeckensnitt"/>
    <w:link w:val="Rubrik7"/>
    <w:uiPriority w:val="9"/>
    <w:semiHidden/>
    <w:rsid w:val="0002173D"/>
    <w:rPr>
      <w:rFonts w:asciiTheme="majorHAnsi" w:eastAsiaTheme="majorEastAsia" w:hAnsiTheme="majorHAnsi" w:cstheme="majorBidi"/>
      <w:i/>
      <w:iCs/>
      <w:color w:val="183D46" w:themeColor="accent1" w:themeShade="7F"/>
    </w:rPr>
  </w:style>
  <w:style w:type="character" w:customStyle="1" w:styleId="Rubrik8Char">
    <w:name w:val="Rubrik 8 Char"/>
    <w:basedOn w:val="Standardstycketeckensnitt"/>
    <w:link w:val="Rubrik8"/>
    <w:uiPriority w:val="9"/>
    <w:semiHidden/>
    <w:rsid w:val="0002173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02173D"/>
    <w:rPr>
      <w:rFonts w:asciiTheme="majorHAnsi" w:eastAsiaTheme="majorEastAsia" w:hAnsiTheme="majorHAnsi" w:cstheme="majorBidi"/>
      <w:i/>
      <w:iCs/>
      <w:color w:val="272727" w:themeColor="text1" w:themeTint="D8"/>
      <w:sz w:val="21"/>
      <w:szCs w:val="21"/>
    </w:rPr>
  </w:style>
  <w:style w:type="table" w:styleId="Rutntstabell5mrkdekorfrg1">
    <w:name w:val="Grid Table 5 Dark Accent 1"/>
    <w:basedOn w:val="Normaltabell"/>
    <w:uiPriority w:val="50"/>
    <w:rsid w:val="000217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C8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C8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C8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C8E" w:themeFill="accent1"/>
      </w:tcPr>
    </w:tblStylePr>
    <w:tblStylePr w:type="band1Vert">
      <w:tblPr/>
      <w:tcPr>
        <w:shd w:val="clear" w:color="auto" w:fill="9FD2DE" w:themeFill="accent1" w:themeFillTint="66"/>
      </w:tcPr>
    </w:tblStylePr>
    <w:tblStylePr w:type="band1Horz">
      <w:tblPr/>
      <w:tcPr>
        <w:shd w:val="clear" w:color="auto" w:fill="9FD2DE" w:themeFill="accent1" w:themeFillTint="66"/>
      </w:tcPr>
    </w:tblStylePr>
  </w:style>
  <w:style w:type="paragraph" w:customStyle="1" w:styleId="Instruktioner">
    <w:name w:val="Instruktioner"/>
    <w:basedOn w:val="Normal"/>
    <w:next w:val="Normal"/>
    <w:uiPriority w:val="1"/>
    <w:qFormat/>
    <w:rsid w:val="0002173D"/>
    <w:pPr>
      <w:spacing w:before="160" w:after="240"/>
    </w:pPr>
    <w:rPr>
      <w:rFonts w:ascii="Arial" w:hAnsi="Arial"/>
      <w:i/>
      <w:iCs/>
      <w:color w:val="7F7F7F" w:themeColor="text1" w:themeTint="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7881">
      <w:bodyDiv w:val="1"/>
      <w:marLeft w:val="0"/>
      <w:marRight w:val="0"/>
      <w:marTop w:val="0"/>
      <w:marBottom w:val="0"/>
      <w:divBdr>
        <w:top w:val="none" w:sz="0" w:space="0" w:color="auto"/>
        <w:left w:val="none" w:sz="0" w:space="0" w:color="auto"/>
        <w:bottom w:val="none" w:sz="0" w:space="0" w:color="auto"/>
        <w:right w:val="none" w:sz="0" w:space="0" w:color="auto"/>
      </w:divBdr>
    </w:div>
    <w:div w:id="380901728">
      <w:bodyDiv w:val="1"/>
      <w:marLeft w:val="0"/>
      <w:marRight w:val="0"/>
      <w:marTop w:val="0"/>
      <w:marBottom w:val="0"/>
      <w:divBdr>
        <w:top w:val="none" w:sz="0" w:space="0" w:color="auto"/>
        <w:left w:val="none" w:sz="0" w:space="0" w:color="auto"/>
        <w:bottom w:val="none" w:sz="0" w:space="0" w:color="auto"/>
        <w:right w:val="none" w:sz="0" w:space="0" w:color="auto"/>
      </w:divBdr>
    </w:div>
    <w:div w:id="696934490">
      <w:bodyDiv w:val="1"/>
      <w:marLeft w:val="0"/>
      <w:marRight w:val="0"/>
      <w:marTop w:val="0"/>
      <w:marBottom w:val="0"/>
      <w:divBdr>
        <w:top w:val="none" w:sz="0" w:space="0" w:color="auto"/>
        <w:left w:val="none" w:sz="0" w:space="0" w:color="auto"/>
        <w:bottom w:val="none" w:sz="0" w:space="0" w:color="auto"/>
        <w:right w:val="none" w:sz="0" w:space="0" w:color="auto"/>
      </w:divBdr>
    </w:div>
    <w:div w:id="707535883">
      <w:bodyDiv w:val="1"/>
      <w:marLeft w:val="0"/>
      <w:marRight w:val="0"/>
      <w:marTop w:val="0"/>
      <w:marBottom w:val="0"/>
      <w:divBdr>
        <w:top w:val="none" w:sz="0" w:space="0" w:color="auto"/>
        <w:left w:val="none" w:sz="0" w:space="0" w:color="auto"/>
        <w:bottom w:val="none" w:sz="0" w:space="0" w:color="auto"/>
        <w:right w:val="none" w:sz="0" w:space="0" w:color="auto"/>
      </w:divBdr>
    </w:div>
    <w:div w:id="785929648">
      <w:bodyDiv w:val="1"/>
      <w:marLeft w:val="0"/>
      <w:marRight w:val="0"/>
      <w:marTop w:val="0"/>
      <w:marBottom w:val="0"/>
      <w:divBdr>
        <w:top w:val="none" w:sz="0" w:space="0" w:color="auto"/>
        <w:left w:val="none" w:sz="0" w:space="0" w:color="auto"/>
        <w:bottom w:val="none" w:sz="0" w:space="0" w:color="auto"/>
        <w:right w:val="none" w:sz="0" w:space="0" w:color="auto"/>
      </w:divBdr>
    </w:div>
    <w:div w:id="795296426">
      <w:bodyDiv w:val="1"/>
      <w:marLeft w:val="0"/>
      <w:marRight w:val="0"/>
      <w:marTop w:val="0"/>
      <w:marBottom w:val="0"/>
      <w:divBdr>
        <w:top w:val="none" w:sz="0" w:space="0" w:color="auto"/>
        <w:left w:val="none" w:sz="0" w:space="0" w:color="auto"/>
        <w:bottom w:val="none" w:sz="0" w:space="0" w:color="auto"/>
        <w:right w:val="none" w:sz="0" w:space="0" w:color="auto"/>
      </w:divBdr>
    </w:div>
    <w:div w:id="916745966">
      <w:bodyDiv w:val="1"/>
      <w:marLeft w:val="0"/>
      <w:marRight w:val="0"/>
      <w:marTop w:val="0"/>
      <w:marBottom w:val="0"/>
      <w:divBdr>
        <w:top w:val="none" w:sz="0" w:space="0" w:color="auto"/>
        <w:left w:val="none" w:sz="0" w:space="0" w:color="auto"/>
        <w:bottom w:val="none" w:sz="0" w:space="0" w:color="auto"/>
        <w:right w:val="none" w:sz="0" w:space="0" w:color="auto"/>
      </w:divBdr>
    </w:div>
    <w:div w:id="932783749">
      <w:bodyDiv w:val="1"/>
      <w:marLeft w:val="0"/>
      <w:marRight w:val="0"/>
      <w:marTop w:val="0"/>
      <w:marBottom w:val="0"/>
      <w:divBdr>
        <w:top w:val="none" w:sz="0" w:space="0" w:color="auto"/>
        <w:left w:val="none" w:sz="0" w:space="0" w:color="auto"/>
        <w:bottom w:val="none" w:sz="0" w:space="0" w:color="auto"/>
        <w:right w:val="none" w:sz="0" w:space="0" w:color="auto"/>
      </w:divBdr>
    </w:div>
    <w:div w:id="932786432">
      <w:bodyDiv w:val="1"/>
      <w:marLeft w:val="0"/>
      <w:marRight w:val="0"/>
      <w:marTop w:val="0"/>
      <w:marBottom w:val="0"/>
      <w:divBdr>
        <w:top w:val="none" w:sz="0" w:space="0" w:color="auto"/>
        <w:left w:val="none" w:sz="0" w:space="0" w:color="auto"/>
        <w:bottom w:val="none" w:sz="0" w:space="0" w:color="auto"/>
        <w:right w:val="none" w:sz="0" w:space="0" w:color="auto"/>
      </w:divBdr>
    </w:div>
    <w:div w:id="976109520">
      <w:bodyDiv w:val="1"/>
      <w:marLeft w:val="0"/>
      <w:marRight w:val="0"/>
      <w:marTop w:val="0"/>
      <w:marBottom w:val="0"/>
      <w:divBdr>
        <w:top w:val="none" w:sz="0" w:space="0" w:color="auto"/>
        <w:left w:val="none" w:sz="0" w:space="0" w:color="auto"/>
        <w:bottom w:val="none" w:sz="0" w:space="0" w:color="auto"/>
        <w:right w:val="none" w:sz="0" w:space="0" w:color="auto"/>
      </w:divBdr>
    </w:div>
    <w:div w:id="1063210734">
      <w:bodyDiv w:val="1"/>
      <w:marLeft w:val="0"/>
      <w:marRight w:val="0"/>
      <w:marTop w:val="0"/>
      <w:marBottom w:val="0"/>
      <w:divBdr>
        <w:top w:val="none" w:sz="0" w:space="0" w:color="auto"/>
        <w:left w:val="none" w:sz="0" w:space="0" w:color="auto"/>
        <w:bottom w:val="none" w:sz="0" w:space="0" w:color="auto"/>
        <w:right w:val="none" w:sz="0" w:space="0" w:color="auto"/>
      </w:divBdr>
    </w:div>
    <w:div w:id="1089083433">
      <w:bodyDiv w:val="1"/>
      <w:marLeft w:val="0"/>
      <w:marRight w:val="0"/>
      <w:marTop w:val="0"/>
      <w:marBottom w:val="0"/>
      <w:divBdr>
        <w:top w:val="none" w:sz="0" w:space="0" w:color="auto"/>
        <w:left w:val="none" w:sz="0" w:space="0" w:color="auto"/>
        <w:bottom w:val="none" w:sz="0" w:space="0" w:color="auto"/>
        <w:right w:val="none" w:sz="0" w:space="0" w:color="auto"/>
      </w:divBdr>
      <w:divsChild>
        <w:div w:id="833374098">
          <w:marLeft w:val="0"/>
          <w:marRight w:val="0"/>
          <w:marTop w:val="0"/>
          <w:marBottom w:val="0"/>
          <w:divBdr>
            <w:top w:val="none" w:sz="0" w:space="0" w:color="auto"/>
            <w:left w:val="none" w:sz="0" w:space="0" w:color="auto"/>
            <w:bottom w:val="none" w:sz="0" w:space="0" w:color="auto"/>
            <w:right w:val="none" w:sz="0" w:space="0" w:color="auto"/>
          </w:divBdr>
        </w:div>
        <w:div w:id="973677492">
          <w:marLeft w:val="0"/>
          <w:marRight w:val="0"/>
          <w:marTop w:val="0"/>
          <w:marBottom w:val="0"/>
          <w:divBdr>
            <w:top w:val="none" w:sz="0" w:space="0" w:color="auto"/>
            <w:left w:val="none" w:sz="0" w:space="0" w:color="auto"/>
            <w:bottom w:val="none" w:sz="0" w:space="0" w:color="auto"/>
            <w:right w:val="none" w:sz="0" w:space="0" w:color="auto"/>
          </w:divBdr>
        </w:div>
        <w:div w:id="1193959309">
          <w:marLeft w:val="0"/>
          <w:marRight w:val="0"/>
          <w:marTop w:val="0"/>
          <w:marBottom w:val="0"/>
          <w:divBdr>
            <w:top w:val="none" w:sz="0" w:space="0" w:color="auto"/>
            <w:left w:val="none" w:sz="0" w:space="0" w:color="auto"/>
            <w:bottom w:val="none" w:sz="0" w:space="0" w:color="auto"/>
            <w:right w:val="none" w:sz="0" w:space="0" w:color="auto"/>
          </w:divBdr>
        </w:div>
      </w:divsChild>
    </w:div>
    <w:div w:id="1252547000">
      <w:bodyDiv w:val="1"/>
      <w:marLeft w:val="0"/>
      <w:marRight w:val="0"/>
      <w:marTop w:val="0"/>
      <w:marBottom w:val="0"/>
      <w:divBdr>
        <w:top w:val="none" w:sz="0" w:space="0" w:color="auto"/>
        <w:left w:val="none" w:sz="0" w:space="0" w:color="auto"/>
        <w:bottom w:val="none" w:sz="0" w:space="0" w:color="auto"/>
        <w:right w:val="none" w:sz="0" w:space="0" w:color="auto"/>
      </w:divBdr>
    </w:div>
    <w:div w:id="1378626671">
      <w:bodyDiv w:val="1"/>
      <w:marLeft w:val="0"/>
      <w:marRight w:val="0"/>
      <w:marTop w:val="0"/>
      <w:marBottom w:val="0"/>
      <w:divBdr>
        <w:top w:val="none" w:sz="0" w:space="0" w:color="auto"/>
        <w:left w:val="none" w:sz="0" w:space="0" w:color="auto"/>
        <w:bottom w:val="none" w:sz="0" w:space="0" w:color="auto"/>
        <w:right w:val="none" w:sz="0" w:space="0" w:color="auto"/>
      </w:divBdr>
    </w:div>
    <w:div w:id="1445884002">
      <w:bodyDiv w:val="1"/>
      <w:marLeft w:val="0"/>
      <w:marRight w:val="0"/>
      <w:marTop w:val="0"/>
      <w:marBottom w:val="0"/>
      <w:divBdr>
        <w:top w:val="none" w:sz="0" w:space="0" w:color="auto"/>
        <w:left w:val="none" w:sz="0" w:space="0" w:color="auto"/>
        <w:bottom w:val="none" w:sz="0" w:space="0" w:color="auto"/>
        <w:right w:val="none" w:sz="0" w:space="0" w:color="auto"/>
      </w:divBdr>
      <w:divsChild>
        <w:div w:id="1060595626">
          <w:marLeft w:val="0"/>
          <w:marRight w:val="0"/>
          <w:marTop w:val="0"/>
          <w:marBottom w:val="0"/>
          <w:divBdr>
            <w:top w:val="none" w:sz="0" w:space="0" w:color="auto"/>
            <w:left w:val="none" w:sz="0" w:space="0" w:color="auto"/>
            <w:bottom w:val="none" w:sz="0" w:space="0" w:color="auto"/>
            <w:right w:val="none" w:sz="0" w:space="0" w:color="auto"/>
          </w:divBdr>
        </w:div>
        <w:div w:id="2129817136">
          <w:marLeft w:val="0"/>
          <w:marRight w:val="0"/>
          <w:marTop w:val="0"/>
          <w:marBottom w:val="0"/>
          <w:divBdr>
            <w:top w:val="none" w:sz="0" w:space="0" w:color="auto"/>
            <w:left w:val="none" w:sz="0" w:space="0" w:color="auto"/>
            <w:bottom w:val="none" w:sz="0" w:space="0" w:color="auto"/>
            <w:right w:val="none" w:sz="0" w:space="0" w:color="auto"/>
          </w:divBdr>
        </w:div>
      </w:divsChild>
    </w:div>
    <w:div w:id="1698116473">
      <w:bodyDiv w:val="1"/>
      <w:marLeft w:val="0"/>
      <w:marRight w:val="0"/>
      <w:marTop w:val="0"/>
      <w:marBottom w:val="0"/>
      <w:divBdr>
        <w:top w:val="none" w:sz="0" w:space="0" w:color="auto"/>
        <w:left w:val="none" w:sz="0" w:space="0" w:color="auto"/>
        <w:bottom w:val="none" w:sz="0" w:space="0" w:color="auto"/>
        <w:right w:val="none" w:sz="0" w:space="0" w:color="auto"/>
      </w:divBdr>
    </w:div>
    <w:div w:id="1764834935">
      <w:bodyDiv w:val="1"/>
      <w:marLeft w:val="0"/>
      <w:marRight w:val="0"/>
      <w:marTop w:val="0"/>
      <w:marBottom w:val="0"/>
      <w:divBdr>
        <w:top w:val="none" w:sz="0" w:space="0" w:color="auto"/>
        <w:left w:val="none" w:sz="0" w:space="0" w:color="auto"/>
        <w:bottom w:val="none" w:sz="0" w:space="0" w:color="auto"/>
        <w:right w:val="none" w:sz="0" w:space="0" w:color="auto"/>
      </w:divBdr>
    </w:div>
    <w:div w:id="1776947791">
      <w:bodyDiv w:val="1"/>
      <w:marLeft w:val="0"/>
      <w:marRight w:val="0"/>
      <w:marTop w:val="0"/>
      <w:marBottom w:val="0"/>
      <w:divBdr>
        <w:top w:val="none" w:sz="0" w:space="0" w:color="auto"/>
        <w:left w:val="none" w:sz="0" w:space="0" w:color="auto"/>
        <w:bottom w:val="none" w:sz="0" w:space="0" w:color="auto"/>
        <w:right w:val="none" w:sz="0" w:space="0" w:color="auto"/>
      </w:divBdr>
    </w:div>
    <w:div w:id="1858499362">
      <w:bodyDiv w:val="1"/>
      <w:marLeft w:val="0"/>
      <w:marRight w:val="0"/>
      <w:marTop w:val="0"/>
      <w:marBottom w:val="0"/>
      <w:divBdr>
        <w:top w:val="none" w:sz="0" w:space="0" w:color="auto"/>
        <w:left w:val="none" w:sz="0" w:space="0" w:color="auto"/>
        <w:bottom w:val="none" w:sz="0" w:space="0" w:color="auto"/>
        <w:right w:val="none" w:sz="0" w:space="0" w:color="auto"/>
      </w:divBdr>
    </w:div>
    <w:div w:id="1873956534">
      <w:bodyDiv w:val="1"/>
      <w:marLeft w:val="0"/>
      <w:marRight w:val="0"/>
      <w:marTop w:val="0"/>
      <w:marBottom w:val="0"/>
      <w:divBdr>
        <w:top w:val="none" w:sz="0" w:space="0" w:color="auto"/>
        <w:left w:val="none" w:sz="0" w:space="0" w:color="auto"/>
        <w:bottom w:val="none" w:sz="0" w:space="0" w:color="auto"/>
        <w:right w:val="none" w:sz="0" w:space="0" w:color="auto"/>
      </w:divBdr>
    </w:div>
    <w:div w:id="199452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Blad1!$B$1</c:f>
              <c:strCache>
                <c:ptCount val="1"/>
                <c:pt idx="0">
                  <c:v>Belopp</c:v>
                </c:pt>
              </c:strCache>
            </c:strRef>
          </c:tx>
          <c:dPt>
            <c:idx val="0"/>
            <c:bubble3D val="0"/>
            <c:spPr>
              <a:solidFill>
                <a:schemeClr val="accent1">
                  <a:shade val="45000"/>
                </a:schemeClr>
              </a:solidFill>
              <a:ln w="19050">
                <a:solidFill>
                  <a:schemeClr val="lt1"/>
                </a:solidFill>
              </a:ln>
              <a:effectLst/>
            </c:spPr>
            <c:extLst>
              <c:ext xmlns:c16="http://schemas.microsoft.com/office/drawing/2014/chart" uri="{C3380CC4-5D6E-409C-BE32-E72D297353CC}">
                <c16:uniqueId val="{00000001-AE1F-4B65-974A-82AC91868374}"/>
              </c:ext>
            </c:extLst>
          </c:dPt>
          <c:dPt>
            <c:idx val="1"/>
            <c:bubble3D val="0"/>
            <c:spPr>
              <a:solidFill>
                <a:schemeClr val="accent1">
                  <a:shade val="61000"/>
                </a:schemeClr>
              </a:solidFill>
              <a:ln w="19050">
                <a:solidFill>
                  <a:schemeClr val="lt1"/>
                </a:solidFill>
              </a:ln>
              <a:effectLst/>
            </c:spPr>
            <c:extLst>
              <c:ext xmlns:c16="http://schemas.microsoft.com/office/drawing/2014/chart" uri="{C3380CC4-5D6E-409C-BE32-E72D297353CC}">
                <c16:uniqueId val="{00000003-AE1F-4B65-974A-82AC91868374}"/>
              </c:ext>
            </c:extLst>
          </c:dPt>
          <c:dPt>
            <c:idx val="2"/>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5-AE1F-4B65-974A-82AC91868374}"/>
              </c:ext>
            </c:extLst>
          </c:dPt>
          <c:dPt>
            <c:idx val="3"/>
            <c:bubble3D val="0"/>
            <c:spPr>
              <a:solidFill>
                <a:schemeClr val="accent1">
                  <a:shade val="92000"/>
                </a:schemeClr>
              </a:solidFill>
              <a:ln w="19050">
                <a:solidFill>
                  <a:schemeClr val="lt1"/>
                </a:solidFill>
              </a:ln>
              <a:effectLst/>
            </c:spPr>
            <c:extLst>
              <c:ext xmlns:c16="http://schemas.microsoft.com/office/drawing/2014/chart" uri="{C3380CC4-5D6E-409C-BE32-E72D297353CC}">
                <c16:uniqueId val="{00000007-AE1F-4B65-974A-82AC91868374}"/>
              </c:ext>
            </c:extLst>
          </c:dPt>
          <c:dPt>
            <c:idx val="4"/>
            <c:bubble3D val="0"/>
            <c:spPr>
              <a:solidFill>
                <a:schemeClr val="accent1">
                  <a:tint val="93000"/>
                </a:schemeClr>
              </a:solidFill>
              <a:ln w="19050">
                <a:solidFill>
                  <a:schemeClr val="lt1"/>
                </a:solidFill>
              </a:ln>
              <a:effectLst/>
            </c:spPr>
            <c:extLst>
              <c:ext xmlns:c16="http://schemas.microsoft.com/office/drawing/2014/chart" uri="{C3380CC4-5D6E-409C-BE32-E72D297353CC}">
                <c16:uniqueId val="{00000009-AE1F-4B65-974A-82AC91868374}"/>
              </c:ext>
            </c:extLst>
          </c:dPt>
          <c:dPt>
            <c:idx val="5"/>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B-AE1F-4B65-974A-82AC91868374}"/>
              </c:ext>
            </c:extLst>
          </c:dPt>
          <c:dPt>
            <c:idx val="6"/>
            <c:bubble3D val="0"/>
            <c:spPr>
              <a:solidFill>
                <a:schemeClr val="accent1">
                  <a:tint val="62000"/>
                </a:schemeClr>
              </a:solidFill>
              <a:ln w="19050">
                <a:solidFill>
                  <a:schemeClr val="lt1"/>
                </a:solidFill>
              </a:ln>
              <a:effectLst/>
            </c:spPr>
            <c:extLst>
              <c:ext xmlns:c16="http://schemas.microsoft.com/office/drawing/2014/chart" uri="{C3380CC4-5D6E-409C-BE32-E72D297353CC}">
                <c16:uniqueId val="{0000000D-AE1F-4B65-974A-82AC91868374}"/>
              </c:ext>
            </c:extLst>
          </c:dPt>
          <c:dPt>
            <c:idx val="7"/>
            <c:bubble3D val="0"/>
            <c:spPr>
              <a:solidFill>
                <a:schemeClr val="accent1">
                  <a:tint val="46000"/>
                </a:schemeClr>
              </a:solidFill>
              <a:ln w="19050">
                <a:solidFill>
                  <a:schemeClr val="lt1"/>
                </a:solidFill>
              </a:ln>
              <a:effectLst/>
            </c:spPr>
            <c:extLst>
              <c:ext xmlns:c16="http://schemas.microsoft.com/office/drawing/2014/chart" uri="{C3380CC4-5D6E-409C-BE32-E72D297353CC}">
                <c16:uniqueId val="{0000000F-AE1F-4B65-974A-82AC91868374}"/>
              </c:ext>
            </c:extLst>
          </c:dPt>
          <c:dLbls>
            <c:dLbl>
              <c:idx val="0"/>
              <c:layout>
                <c:manualLayout>
                  <c:x val="9.0989591019975061E-3"/>
                  <c:y val="-2.285779337823735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1F-4B65-974A-82AC91868374}"/>
                </c:ext>
              </c:extLst>
            </c:dLbl>
            <c:dLbl>
              <c:idx val="1"/>
              <c:layout>
                <c:manualLayout>
                  <c:x val="2.0109890934748506E-2"/>
                  <c:y val="3.225837175098402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1F-4B65-974A-82AC91868374}"/>
                </c:ext>
              </c:extLst>
            </c:dLbl>
            <c:dLbl>
              <c:idx val="2"/>
              <c:layout>
                <c:manualLayout>
                  <c:x val="7.6263107721639564E-2"/>
                  <c:y val="-0.10516930324393331"/>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bestFit"/>
              <c:showLegendKey val="0"/>
              <c:showVal val="1"/>
              <c:showCatName val="1"/>
              <c:showSerName val="0"/>
              <c:showPercent val="0"/>
              <c:showBubbleSize val="0"/>
              <c:extLst>
                <c:ext xmlns:c15="http://schemas.microsoft.com/office/drawing/2012/chart" uri="{CE6537A1-D6FC-4f65-9D91-7224C49458BB}">
                  <c15:layout>
                    <c:manualLayout>
                      <c:w val="0.28002859866539559"/>
                      <c:h val="0.21632937892533147"/>
                    </c:manualLayout>
                  </c15:layout>
                </c:ext>
                <c:ext xmlns:c16="http://schemas.microsoft.com/office/drawing/2014/chart" uri="{C3380CC4-5D6E-409C-BE32-E72D297353CC}">
                  <c16:uniqueId val="{00000005-AE1F-4B65-974A-82AC91868374}"/>
                </c:ext>
              </c:extLst>
            </c:dLbl>
            <c:dLbl>
              <c:idx val="4"/>
              <c:layout>
                <c:manualLayout>
                  <c:x val="3.2047330908333261E-3"/>
                  <c:y val="2.459614837301963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E1F-4B65-974A-82AC91868374}"/>
                </c:ext>
              </c:extLst>
            </c:dLbl>
            <c:dLbl>
              <c:idx val="5"/>
              <c:layout>
                <c:manualLayout>
                  <c:x val="-2.2050716648291089E-2"/>
                  <c:y val="3.0720804477753536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3814773980154355"/>
                      <c:h val="6.1445783132530123E-2"/>
                    </c:manualLayout>
                  </c15:layout>
                </c:ext>
                <c:ext xmlns:c16="http://schemas.microsoft.com/office/drawing/2014/chart" uri="{C3380CC4-5D6E-409C-BE32-E72D297353CC}">
                  <c16:uniqueId val="{0000000B-AE1F-4B65-974A-82AC91868374}"/>
                </c:ext>
              </c:extLst>
            </c:dLbl>
            <c:dLbl>
              <c:idx val="6"/>
              <c:layout>
                <c:manualLayout>
                  <c:x val="-5.2099393498119692E-2"/>
                  <c:y val="5.6508288871427708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E1F-4B65-974A-82AC91868374}"/>
                </c:ext>
              </c:extLst>
            </c:dLbl>
            <c:dLbl>
              <c:idx val="7"/>
              <c:layout>
                <c:manualLayout>
                  <c:x val="0.1045491394128641"/>
                  <c:y val="1.1630611770179111E-3"/>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6891096132049269"/>
                      <c:h val="0.20048866885358799"/>
                    </c:manualLayout>
                  </c15:layout>
                </c:ext>
                <c:ext xmlns:c16="http://schemas.microsoft.com/office/drawing/2014/chart" uri="{C3380CC4-5D6E-409C-BE32-E72D297353CC}">
                  <c16:uniqueId val="{0000000F-AE1F-4B65-974A-82AC918683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Blad1!$A$2:$A$9</c:f>
              <c:strCache>
                <c:ptCount val="8"/>
                <c:pt idx="0">
                  <c:v>Externa intäkter</c:v>
                </c:pt>
                <c:pt idx="1">
                  <c:v>Bolag </c:v>
                </c:pt>
                <c:pt idx="2">
                  <c:v>Sjukvårdsförvaltningar</c:v>
                </c:pt>
                <c:pt idx="3">
                  <c:v>Psykitri och habilitering</c:v>
                </c:pt>
                <c:pt idx="4">
                  <c:v>Primärvården</c:v>
                </c:pt>
                <c:pt idx="5">
                  <c:v>Regionfastigheter</c:v>
                </c:pt>
                <c:pt idx="6">
                  <c:v>Regionstyrelsen</c:v>
                </c:pt>
                <c:pt idx="7">
                  <c:v>Övriga förvaltningar</c:v>
                </c:pt>
              </c:strCache>
            </c:strRef>
          </c:cat>
          <c:val>
            <c:numRef>
              <c:f>Blad1!$C$2:$C$9</c:f>
              <c:numCache>
                <c:formatCode>0.0%</c:formatCode>
                <c:ptCount val="8"/>
                <c:pt idx="0">
                  <c:v>7.1087554620488755E-2</c:v>
                </c:pt>
                <c:pt idx="1">
                  <c:v>1.7033500566434698E-2</c:v>
                </c:pt>
                <c:pt idx="2">
                  <c:v>0.62510114905324488</c:v>
                </c:pt>
                <c:pt idx="3">
                  <c:v>9.2005178831526147E-2</c:v>
                </c:pt>
                <c:pt idx="4">
                  <c:v>5.5591519663375957E-2</c:v>
                </c:pt>
                <c:pt idx="5">
                  <c:v>3.3581485677294062E-2</c:v>
                </c:pt>
                <c:pt idx="6">
                  <c:v>3.7222851594109083E-2</c:v>
                </c:pt>
                <c:pt idx="7">
                  <c:v>6.8376759993526465E-2</c:v>
                </c:pt>
              </c:numCache>
            </c:numRef>
          </c:val>
          <c:extLst>
            <c:ext xmlns:c16="http://schemas.microsoft.com/office/drawing/2014/chart" uri="{C3380CC4-5D6E-409C-BE32-E72D297353CC}">
              <c16:uniqueId val="{00000010-AE1F-4B65-974A-82AC91868374}"/>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Blad1!$B$1</c:f>
              <c:strCache>
                <c:ptCount val="1"/>
                <c:pt idx="0">
                  <c:v>Belopp</c:v>
                </c:pt>
              </c:strCache>
            </c:strRef>
          </c:tx>
          <c:dPt>
            <c:idx val="0"/>
            <c:bubble3D val="0"/>
            <c:spPr>
              <a:solidFill>
                <a:schemeClr val="accent1">
                  <a:shade val="45000"/>
                </a:schemeClr>
              </a:solidFill>
              <a:ln w="19050">
                <a:solidFill>
                  <a:schemeClr val="lt1"/>
                </a:solidFill>
              </a:ln>
              <a:effectLst/>
            </c:spPr>
            <c:extLst>
              <c:ext xmlns:c16="http://schemas.microsoft.com/office/drawing/2014/chart" uri="{C3380CC4-5D6E-409C-BE32-E72D297353CC}">
                <c16:uniqueId val="{00000001-90B4-48AC-B70C-806D6DDD757D}"/>
              </c:ext>
            </c:extLst>
          </c:dPt>
          <c:dPt>
            <c:idx val="1"/>
            <c:bubble3D val="0"/>
            <c:spPr>
              <a:solidFill>
                <a:schemeClr val="accent1">
                  <a:shade val="61000"/>
                </a:schemeClr>
              </a:solidFill>
              <a:ln w="19050">
                <a:solidFill>
                  <a:schemeClr val="lt1"/>
                </a:solidFill>
              </a:ln>
              <a:effectLst/>
            </c:spPr>
            <c:extLst>
              <c:ext xmlns:c16="http://schemas.microsoft.com/office/drawing/2014/chart" uri="{C3380CC4-5D6E-409C-BE32-E72D297353CC}">
                <c16:uniqueId val="{00000003-90B4-48AC-B70C-806D6DDD757D}"/>
              </c:ext>
            </c:extLst>
          </c:dPt>
          <c:dPt>
            <c:idx val="2"/>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5-90B4-48AC-B70C-806D6DDD757D}"/>
              </c:ext>
            </c:extLst>
          </c:dPt>
          <c:dPt>
            <c:idx val="3"/>
            <c:bubble3D val="0"/>
            <c:spPr>
              <a:solidFill>
                <a:schemeClr val="accent1">
                  <a:shade val="92000"/>
                </a:schemeClr>
              </a:solidFill>
              <a:ln w="19050">
                <a:solidFill>
                  <a:schemeClr val="lt1"/>
                </a:solidFill>
              </a:ln>
              <a:effectLst/>
            </c:spPr>
            <c:extLst>
              <c:ext xmlns:c16="http://schemas.microsoft.com/office/drawing/2014/chart" uri="{C3380CC4-5D6E-409C-BE32-E72D297353CC}">
                <c16:uniqueId val="{00000007-90B4-48AC-B70C-806D6DDD757D}"/>
              </c:ext>
            </c:extLst>
          </c:dPt>
          <c:dPt>
            <c:idx val="4"/>
            <c:bubble3D val="0"/>
            <c:spPr>
              <a:solidFill>
                <a:schemeClr val="accent1">
                  <a:tint val="93000"/>
                </a:schemeClr>
              </a:solidFill>
              <a:ln w="19050">
                <a:solidFill>
                  <a:schemeClr val="lt1"/>
                </a:solidFill>
              </a:ln>
              <a:effectLst/>
            </c:spPr>
            <c:extLst>
              <c:ext xmlns:c16="http://schemas.microsoft.com/office/drawing/2014/chart" uri="{C3380CC4-5D6E-409C-BE32-E72D297353CC}">
                <c16:uniqueId val="{00000009-90B4-48AC-B70C-806D6DDD757D}"/>
              </c:ext>
            </c:extLst>
          </c:dPt>
          <c:dPt>
            <c:idx val="5"/>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B-90B4-48AC-B70C-806D6DDD757D}"/>
              </c:ext>
            </c:extLst>
          </c:dPt>
          <c:dLbls>
            <c:dLbl>
              <c:idx val="0"/>
              <c:dLblPos val="bestFit"/>
              <c:showLegendKey val="0"/>
              <c:showVal val="1"/>
              <c:showCatName val="1"/>
              <c:showSerName val="0"/>
              <c:showPercent val="0"/>
              <c:showBubbleSize val="0"/>
              <c:extLst>
                <c:ext xmlns:c15="http://schemas.microsoft.com/office/drawing/2012/chart" uri="{CE6537A1-D6FC-4f65-9D91-7224C49458BB}">
                  <c15:layout>
                    <c:manualLayout>
                      <c:w val="0.28762541806020064"/>
                      <c:h val="0.17727272727272728"/>
                    </c:manualLayout>
                  </c15:layout>
                </c:ext>
                <c:ext xmlns:c16="http://schemas.microsoft.com/office/drawing/2014/chart" uri="{C3380CC4-5D6E-409C-BE32-E72D297353CC}">
                  <c16:uniqueId val="{00000001-90B4-48AC-B70C-806D6DDD757D}"/>
                </c:ext>
              </c:extLst>
            </c:dLbl>
            <c:dLbl>
              <c:idx val="1"/>
              <c:layout>
                <c:manualLayout>
                  <c:x val="-1.9502716842668914E-2"/>
                  <c:y val="9.3401813409687312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31238353567008131"/>
                      <c:h val="0.15281412550703888"/>
                    </c:manualLayout>
                  </c15:layout>
                </c:ext>
                <c:ext xmlns:c16="http://schemas.microsoft.com/office/drawing/2014/chart" uri="{C3380CC4-5D6E-409C-BE32-E72D297353CC}">
                  <c16:uniqueId val="{00000003-90B4-48AC-B70C-806D6DDD757D}"/>
                </c:ext>
              </c:extLst>
            </c:dLbl>
            <c:dLbl>
              <c:idx val="2"/>
              <c:layout>
                <c:manualLayout>
                  <c:x val="1.8337977302600197E-2"/>
                  <c:y val="-1.264820694637531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bestFit"/>
              <c:showLegendKey val="0"/>
              <c:showVal val="1"/>
              <c:showCatName val="1"/>
              <c:showSerName val="0"/>
              <c:showPercent val="0"/>
              <c:showBubbleSize val="0"/>
              <c:extLst>
                <c:ext xmlns:c15="http://schemas.microsoft.com/office/drawing/2012/chart" uri="{CE6537A1-D6FC-4f65-9D91-7224C49458BB}">
                  <c15:layout>
                    <c:manualLayout>
                      <c:w val="0.28002859866539559"/>
                      <c:h val="0.21632937892533147"/>
                    </c:manualLayout>
                  </c15:layout>
                </c:ext>
                <c:ext xmlns:c16="http://schemas.microsoft.com/office/drawing/2014/chart" uri="{C3380CC4-5D6E-409C-BE32-E72D297353CC}">
                  <c16:uniqueId val="{00000005-90B4-48AC-B70C-806D6DDD757D}"/>
                </c:ext>
              </c:extLst>
            </c:dLbl>
            <c:dLbl>
              <c:idx val="3"/>
              <c:layout>
                <c:manualLayout>
                  <c:x val="7.3786105359886334E-2"/>
                  <c:y val="-1.3877787807814457E-17"/>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8200668896321068"/>
                      <c:h val="0.18018181818181817"/>
                    </c:manualLayout>
                  </c15:layout>
                </c:ext>
                <c:ext xmlns:c16="http://schemas.microsoft.com/office/drawing/2014/chart" uri="{C3380CC4-5D6E-409C-BE32-E72D297353CC}">
                  <c16:uniqueId val="{00000007-90B4-48AC-B70C-806D6DDD757D}"/>
                </c:ext>
              </c:extLst>
            </c:dLbl>
            <c:dLbl>
              <c:idx val="4"/>
              <c:delete val="1"/>
              <c:extLst>
                <c:ext xmlns:c15="http://schemas.microsoft.com/office/drawing/2012/chart" uri="{CE6537A1-D6FC-4f65-9D91-7224C49458BB}"/>
                <c:ext xmlns:c16="http://schemas.microsoft.com/office/drawing/2014/chart" uri="{C3380CC4-5D6E-409C-BE32-E72D297353CC}">
                  <c16:uniqueId val="{00000009-90B4-48AC-B70C-806D6DDD757D}"/>
                </c:ext>
              </c:extLst>
            </c:dLbl>
            <c:dLbl>
              <c:idx val="5"/>
              <c:layout>
                <c:manualLayout>
                  <c:x val="0.21307914264960884"/>
                  <c:y val="4.3152891968268239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998F3DF1-0223-4827-A7D8-4FB58C9CE103}" type="CATEGORYNAME">
                      <a:rPr lang="en-US"/>
                      <a:pPr>
                        <a:defRPr/>
                      </a:pPr>
                      <a:t>[KATEGORINAMN]</a:t>
                    </a:fld>
                    <a:r>
                      <a:rPr lang="en-US"/>
                      <a:t>er</a:t>
                    </a:r>
                    <a:r>
                      <a:rPr lang="en-US" baseline="0"/>
                      <a:t>; </a:t>
                    </a:r>
                    <a:fld id="{35406B18-7807-4602-A647-7D80C2E1F66A}" type="VALUE">
                      <a:rPr lang="en-US" baseline="0"/>
                      <a:pPr>
                        <a:defRPr/>
                      </a:pPr>
                      <a:t>[VÄRDE]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bestFit"/>
              <c:showLegendKey val="0"/>
              <c:showVal val="1"/>
              <c:showCatName val="1"/>
              <c:showSerName val="0"/>
              <c:showPercent val="0"/>
              <c:showBubbleSize val="0"/>
              <c:extLst>
                <c:ext xmlns:c15="http://schemas.microsoft.com/office/drawing/2012/chart" uri="{CE6537A1-D6FC-4f65-9D91-7224C49458BB}">
                  <c15:layout>
                    <c:manualLayout>
                      <c:w val="0.26908452496949586"/>
                      <c:h val="0.15887473156764492"/>
                    </c:manualLayout>
                  </c15:layout>
                  <c15:dlblFieldTable/>
                  <c15:showDataLabelsRange val="0"/>
                </c:ext>
                <c:ext xmlns:c16="http://schemas.microsoft.com/office/drawing/2014/chart" uri="{C3380CC4-5D6E-409C-BE32-E72D297353CC}">
                  <c16:uniqueId val="{0000000B-90B4-48AC-B70C-806D6DDD75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Blad1!$A$2:$A$7</c:f>
              <c:strCache>
                <c:ptCount val="6"/>
                <c:pt idx="0">
                  <c:v>Personalkostnader</c:v>
                </c:pt>
                <c:pt idx="1">
                  <c:v>Fastighetskostnader</c:v>
                </c:pt>
                <c:pt idx="2">
                  <c:v>Material och tjänster</c:v>
                </c:pt>
                <c:pt idx="3">
                  <c:v>Övriga omkostnader</c:v>
                </c:pt>
                <c:pt idx="4">
                  <c:v>Kostnad för inhyrd personal</c:v>
                </c:pt>
                <c:pt idx="5">
                  <c:v>Kapitalkostnad</c:v>
                </c:pt>
              </c:strCache>
            </c:strRef>
          </c:cat>
          <c:val>
            <c:numRef>
              <c:f>Blad1!$C$2:$C$7</c:f>
              <c:numCache>
                <c:formatCode>0.0%</c:formatCode>
                <c:ptCount val="6"/>
                <c:pt idx="0">
                  <c:v>0.57574041106975238</c:v>
                </c:pt>
                <c:pt idx="1">
                  <c:v>0.20241948535361709</c:v>
                </c:pt>
                <c:pt idx="2">
                  <c:v>0.10466904029778282</c:v>
                </c:pt>
                <c:pt idx="3">
                  <c:v>9.9166531801262336E-2</c:v>
                </c:pt>
                <c:pt idx="4">
                  <c:v>0</c:v>
                </c:pt>
                <c:pt idx="5">
                  <c:v>1.8004531477585371E-2</c:v>
                </c:pt>
              </c:numCache>
            </c:numRef>
          </c:val>
          <c:extLst>
            <c:ext xmlns:c16="http://schemas.microsoft.com/office/drawing/2014/chart" uri="{C3380CC4-5D6E-409C-BE32-E72D297353CC}">
              <c16:uniqueId val="{0000000C-90B4-48AC-B70C-806D6DDD757D}"/>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Region Skåne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Region Skån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Region Skåne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Region Skån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Region Skåne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Region Skån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D7FE9244952B644B3C04B8CAE389A94" ma:contentTypeVersion="13" ma:contentTypeDescription="Skapa ett nytt dokument." ma:contentTypeScope="" ma:versionID="4f679eea807071a47acd05f3c8a8e572">
  <xsd:schema xmlns:xsd="http://www.w3.org/2001/XMLSchema" xmlns:xs="http://www.w3.org/2001/XMLSchema" xmlns:p="http://schemas.microsoft.com/office/2006/metadata/properties" xmlns:ns2="1663ebcf-f85a-4d32-9d7c-dee15540ecb3" xmlns:ns3="4b16f11c-a1d1-4834-aed4-360c8d61a096" targetNamespace="http://schemas.microsoft.com/office/2006/metadata/properties" ma:root="true" ma:fieldsID="8ae7a518a501b99b391feb2632c207e5" ns2:_="" ns3:_="">
    <xsd:import namespace="1663ebcf-f85a-4d32-9d7c-dee15540ecb3"/>
    <xsd:import namespace="4b16f11c-a1d1-4834-aed4-360c8d61a0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3ebcf-f85a-4d32-9d7c-dee15540e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16f11c-a1d1-4834-aed4-360c8d61a096"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32EC4-DD5F-4E5D-A1FF-71113BF6D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262C2F-5253-490A-A705-D905DBEE2C76}">
  <ds:schemaRefs>
    <ds:schemaRef ds:uri="http://schemas.openxmlformats.org/officeDocument/2006/bibliography"/>
  </ds:schemaRefs>
</ds:datastoreItem>
</file>

<file path=customXml/itemProps3.xml><?xml version="1.0" encoding="utf-8"?>
<ds:datastoreItem xmlns:ds="http://schemas.openxmlformats.org/officeDocument/2006/customXml" ds:itemID="{866F2E54-02F8-46F6-A9C2-363CE7740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3ebcf-f85a-4d32-9d7c-dee15540ecb3"/>
    <ds:schemaRef ds:uri="4b16f11c-a1d1-4834-aed4-360c8d61a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96999-F623-4755-A06D-C21CAB468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8898</Words>
  <Characters>47164</Characters>
  <Application>Microsoft Office Word</Application>
  <DocSecurity>0</DocSecurity>
  <Lines>393</Lines>
  <Paragraphs>111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55951</CharactersWithSpaces>
  <SharedDoc>false</SharedDoc>
  <HLinks>
    <vt:vector size="108" baseType="variant">
      <vt:variant>
        <vt:i4>1572922</vt:i4>
      </vt:variant>
      <vt:variant>
        <vt:i4>104</vt:i4>
      </vt:variant>
      <vt:variant>
        <vt:i4>0</vt:i4>
      </vt:variant>
      <vt:variant>
        <vt:i4>5</vt:i4>
      </vt:variant>
      <vt:variant>
        <vt:lpwstr/>
      </vt:variant>
      <vt:variant>
        <vt:lpwstr>_Toc181799394</vt:lpwstr>
      </vt:variant>
      <vt:variant>
        <vt:i4>1572922</vt:i4>
      </vt:variant>
      <vt:variant>
        <vt:i4>98</vt:i4>
      </vt:variant>
      <vt:variant>
        <vt:i4>0</vt:i4>
      </vt:variant>
      <vt:variant>
        <vt:i4>5</vt:i4>
      </vt:variant>
      <vt:variant>
        <vt:lpwstr/>
      </vt:variant>
      <vt:variant>
        <vt:lpwstr>_Toc181799393</vt:lpwstr>
      </vt:variant>
      <vt:variant>
        <vt:i4>1572922</vt:i4>
      </vt:variant>
      <vt:variant>
        <vt:i4>92</vt:i4>
      </vt:variant>
      <vt:variant>
        <vt:i4>0</vt:i4>
      </vt:variant>
      <vt:variant>
        <vt:i4>5</vt:i4>
      </vt:variant>
      <vt:variant>
        <vt:lpwstr/>
      </vt:variant>
      <vt:variant>
        <vt:lpwstr>_Toc181799392</vt:lpwstr>
      </vt:variant>
      <vt:variant>
        <vt:i4>1572922</vt:i4>
      </vt:variant>
      <vt:variant>
        <vt:i4>86</vt:i4>
      </vt:variant>
      <vt:variant>
        <vt:i4>0</vt:i4>
      </vt:variant>
      <vt:variant>
        <vt:i4>5</vt:i4>
      </vt:variant>
      <vt:variant>
        <vt:lpwstr/>
      </vt:variant>
      <vt:variant>
        <vt:lpwstr>_Toc181799391</vt:lpwstr>
      </vt:variant>
      <vt:variant>
        <vt:i4>1572922</vt:i4>
      </vt:variant>
      <vt:variant>
        <vt:i4>80</vt:i4>
      </vt:variant>
      <vt:variant>
        <vt:i4>0</vt:i4>
      </vt:variant>
      <vt:variant>
        <vt:i4>5</vt:i4>
      </vt:variant>
      <vt:variant>
        <vt:lpwstr/>
      </vt:variant>
      <vt:variant>
        <vt:lpwstr>_Toc181799390</vt:lpwstr>
      </vt:variant>
      <vt:variant>
        <vt:i4>1638458</vt:i4>
      </vt:variant>
      <vt:variant>
        <vt:i4>74</vt:i4>
      </vt:variant>
      <vt:variant>
        <vt:i4>0</vt:i4>
      </vt:variant>
      <vt:variant>
        <vt:i4>5</vt:i4>
      </vt:variant>
      <vt:variant>
        <vt:lpwstr/>
      </vt:variant>
      <vt:variant>
        <vt:lpwstr>_Toc181799389</vt:lpwstr>
      </vt:variant>
      <vt:variant>
        <vt:i4>1638458</vt:i4>
      </vt:variant>
      <vt:variant>
        <vt:i4>68</vt:i4>
      </vt:variant>
      <vt:variant>
        <vt:i4>0</vt:i4>
      </vt:variant>
      <vt:variant>
        <vt:i4>5</vt:i4>
      </vt:variant>
      <vt:variant>
        <vt:lpwstr/>
      </vt:variant>
      <vt:variant>
        <vt:lpwstr>_Toc181799388</vt:lpwstr>
      </vt:variant>
      <vt:variant>
        <vt:i4>1638458</vt:i4>
      </vt:variant>
      <vt:variant>
        <vt:i4>62</vt:i4>
      </vt:variant>
      <vt:variant>
        <vt:i4>0</vt:i4>
      </vt:variant>
      <vt:variant>
        <vt:i4>5</vt:i4>
      </vt:variant>
      <vt:variant>
        <vt:lpwstr/>
      </vt:variant>
      <vt:variant>
        <vt:lpwstr>_Toc181799387</vt:lpwstr>
      </vt:variant>
      <vt:variant>
        <vt:i4>1638458</vt:i4>
      </vt:variant>
      <vt:variant>
        <vt:i4>56</vt:i4>
      </vt:variant>
      <vt:variant>
        <vt:i4>0</vt:i4>
      </vt:variant>
      <vt:variant>
        <vt:i4>5</vt:i4>
      </vt:variant>
      <vt:variant>
        <vt:lpwstr/>
      </vt:variant>
      <vt:variant>
        <vt:lpwstr>_Toc181799386</vt:lpwstr>
      </vt:variant>
      <vt:variant>
        <vt:i4>1638458</vt:i4>
      </vt:variant>
      <vt:variant>
        <vt:i4>50</vt:i4>
      </vt:variant>
      <vt:variant>
        <vt:i4>0</vt:i4>
      </vt:variant>
      <vt:variant>
        <vt:i4>5</vt:i4>
      </vt:variant>
      <vt:variant>
        <vt:lpwstr/>
      </vt:variant>
      <vt:variant>
        <vt:lpwstr>_Toc181799385</vt:lpwstr>
      </vt:variant>
      <vt:variant>
        <vt:i4>1638458</vt:i4>
      </vt:variant>
      <vt:variant>
        <vt:i4>44</vt:i4>
      </vt:variant>
      <vt:variant>
        <vt:i4>0</vt:i4>
      </vt:variant>
      <vt:variant>
        <vt:i4>5</vt:i4>
      </vt:variant>
      <vt:variant>
        <vt:lpwstr/>
      </vt:variant>
      <vt:variant>
        <vt:lpwstr>_Toc181799384</vt:lpwstr>
      </vt:variant>
      <vt:variant>
        <vt:i4>1638458</vt:i4>
      </vt:variant>
      <vt:variant>
        <vt:i4>38</vt:i4>
      </vt:variant>
      <vt:variant>
        <vt:i4>0</vt:i4>
      </vt:variant>
      <vt:variant>
        <vt:i4>5</vt:i4>
      </vt:variant>
      <vt:variant>
        <vt:lpwstr/>
      </vt:variant>
      <vt:variant>
        <vt:lpwstr>_Toc181799383</vt:lpwstr>
      </vt:variant>
      <vt:variant>
        <vt:i4>1638458</vt:i4>
      </vt:variant>
      <vt:variant>
        <vt:i4>32</vt:i4>
      </vt:variant>
      <vt:variant>
        <vt:i4>0</vt:i4>
      </vt:variant>
      <vt:variant>
        <vt:i4>5</vt:i4>
      </vt:variant>
      <vt:variant>
        <vt:lpwstr/>
      </vt:variant>
      <vt:variant>
        <vt:lpwstr>_Toc181799382</vt:lpwstr>
      </vt:variant>
      <vt:variant>
        <vt:i4>1638458</vt:i4>
      </vt:variant>
      <vt:variant>
        <vt:i4>26</vt:i4>
      </vt:variant>
      <vt:variant>
        <vt:i4>0</vt:i4>
      </vt:variant>
      <vt:variant>
        <vt:i4>5</vt:i4>
      </vt:variant>
      <vt:variant>
        <vt:lpwstr/>
      </vt:variant>
      <vt:variant>
        <vt:lpwstr>_Toc181799381</vt:lpwstr>
      </vt:variant>
      <vt:variant>
        <vt:i4>1638458</vt:i4>
      </vt:variant>
      <vt:variant>
        <vt:i4>20</vt:i4>
      </vt:variant>
      <vt:variant>
        <vt:i4>0</vt:i4>
      </vt:variant>
      <vt:variant>
        <vt:i4>5</vt:i4>
      </vt:variant>
      <vt:variant>
        <vt:lpwstr/>
      </vt:variant>
      <vt:variant>
        <vt:lpwstr>_Toc181799380</vt:lpwstr>
      </vt:variant>
      <vt:variant>
        <vt:i4>1441850</vt:i4>
      </vt:variant>
      <vt:variant>
        <vt:i4>14</vt:i4>
      </vt:variant>
      <vt:variant>
        <vt:i4>0</vt:i4>
      </vt:variant>
      <vt:variant>
        <vt:i4>5</vt:i4>
      </vt:variant>
      <vt:variant>
        <vt:lpwstr/>
      </vt:variant>
      <vt:variant>
        <vt:lpwstr>_Toc181799379</vt:lpwstr>
      </vt:variant>
      <vt:variant>
        <vt:i4>1441850</vt:i4>
      </vt:variant>
      <vt:variant>
        <vt:i4>8</vt:i4>
      </vt:variant>
      <vt:variant>
        <vt:i4>0</vt:i4>
      </vt:variant>
      <vt:variant>
        <vt:i4>5</vt:i4>
      </vt:variant>
      <vt:variant>
        <vt:lpwstr/>
      </vt:variant>
      <vt:variant>
        <vt:lpwstr>_Toc181799378</vt:lpwstr>
      </vt:variant>
      <vt:variant>
        <vt:i4>1441850</vt:i4>
      </vt:variant>
      <vt:variant>
        <vt:i4>2</vt:i4>
      </vt:variant>
      <vt:variant>
        <vt:i4>0</vt:i4>
      </vt:variant>
      <vt:variant>
        <vt:i4>5</vt:i4>
      </vt:variant>
      <vt:variant>
        <vt:lpwstr/>
      </vt:variant>
      <vt:variant>
        <vt:lpwstr>_Toc181799377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Pistemaa</dc:creator>
  <cp:keywords/>
  <dc:description/>
  <cp:lastModifiedBy>Pistemaa Susanna</cp:lastModifiedBy>
  <cp:revision>451</cp:revision>
  <dcterms:created xsi:type="dcterms:W3CDTF">2024-09-06T00:24:00Z</dcterms:created>
  <dcterms:modified xsi:type="dcterms:W3CDTF">2024-12-12T12:25:00Z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0x0101000D7FE9244952B644B3C04B8CAE389A94</vt:lpwstr>
  </property>
  <property fmtid="{D5CDD505-2E9C-101B-9397-08002B2CF9AE}" pid="3" name="arendnum">
    <vt:lpwstr>2024-POL000060</vt:lpwstr>
  </property>
  <property fmtid="{D5CDD505-2E9C-101B-9397-08002B2CF9AE}" pid="4" name="Godkänt datum">
    <vt:lpwstr> </vt:lpwstr>
  </property>
</Properties>
</file>